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42706F9" w:rsidR="00E90E49" w:rsidRPr="00CE0424" w:rsidRDefault="00E90E49" w:rsidP="00E35559">
      <w:pPr>
        <w:pStyle w:val="3GPPHeader"/>
        <w:spacing w:after="60"/>
        <w:rPr>
          <w:sz w:val="32"/>
          <w:szCs w:val="32"/>
          <w:highlight w:val="yellow"/>
        </w:rPr>
      </w:pPr>
      <w:r w:rsidRPr="00CE0424">
        <w:t>3GPP TSG-RAN WG</w:t>
      </w:r>
      <w:r w:rsidR="008637DC">
        <w:t>4</w:t>
      </w:r>
      <w:r w:rsidRPr="00CE0424">
        <w:t xml:space="preserve"> </w:t>
      </w:r>
      <w:r w:rsidR="008F1C4E">
        <w:t xml:space="preserve">Meeting </w:t>
      </w:r>
      <w:r w:rsidRPr="00CE0424">
        <w:t>#</w:t>
      </w:r>
      <w:r w:rsidR="00110EFE">
        <w:t>107</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8637DC">
        <w:rPr>
          <w:sz w:val="32"/>
          <w:szCs w:val="32"/>
        </w:rPr>
        <w:t>0</w:t>
      </w:r>
      <w:r w:rsidR="00157423">
        <w:rPr>
          <w:sz w:val="32"/>
          <w:szCs w:val="32"/>
        </w:rPr>
        <w:t>85</w:t>
      </w:r>
      <w:r w:rsidR="008637DC">
        <w:rPr>
          <w:sz w:val="32"/>
          <w:szCs w:val="32"/>
        </w:rPr>
        <w:t>28</w:t>
      </w:r>
    </w:p>
    <w:p w14:paraId="0CE7B7E6" w14:textId="035D25A5" w:rsidR="00E90E49" w:rsidRPr="00CE0424" w:rsidRDefault="00110EFE" w:rsidP="00311702">
      <w:pPr>
        <w:pStyle w:val="3GPPHeader"/>
      </w:pPr>
      <w:r w:rsidRPr="002471FE">
        <w:t>Seoul</w:t>
      </w:r>
      <w:r w:rsidR="0027144F" w:rsidRPr="002471FE">
        <w:t xml:space="preserve">, </w:t>
      </w:r>
      <w:r w:rsidRPr="002471FE">
        <w:t>Korea</w:t>
      </w:r>
      <w:r w:rsidR="0027144F" w:rsidRPr="002471FE">
        <w:t xml:space="preserve">, </w:t>
      </w:r>
      <w:r w:rsidR="002471FE" w:rsidRPr="002471FE">
        <w:t>May</w:t>
      </w:r>
      <w:r w:rsidR="0027144F" w:rsidRPr="002471FE">
        <w:t xml:space="preserve"> </w:t>
      </w:r>
      <w:r w:rsidR="002471FE" w:rsidRPr="002471FE">
        <w:t>22nd</w:t>
      </w:r>
      <w:r w:rsidR="001D53E7" w:rsidRPr="002471FE">
        <w:t xml:space="preserve"> – </w:t>
      </w:r>
      <w:r w:rsidR="002471FE" w:rsidRPr="002471FE">
        <w:t>26</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20C24575"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8637DC">
        <w:rPr>
          <w:sz w:val="22"/>
          <w:lang w:val="sv-FI"/>
        </w:rPr>
        <w:t>8.20.2.3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23E275C" w:rsidR="00E90E49" w:rsidRPr="00CE0424" w:rsidRDefault="003D3C45" w:rsidP="00311702">
      <w:pPr>
        <w:pStyle w:val="3GPPHeader"/>
        <w:rPr>
          <w:sz w:val="22"/>
        </w:rPr>
      </w:pPr>
      <w:r>
        <w:rPr>
          <w:sz w:val="22"/>
        </w:rPr>
        <w:t>Title:</w:t>
      </w:r>
      <w:r w:rsidR="00E90E49" w:rsidRPr="00CE0424">
        <w:rPr>
          <w:sz w:val="22"/>
        </w:rPr>
        <w:tab/>
      </w:r>
      <w:r w:rsidR="008637DC" w:rsidRPr="008637DC">
        <w:rPr>
          <w:sz w:val="22"/>
        </w:rPr>
        <w:t>SBFD BS requirements discussion</w:t>
      </w:r>
    </w:p>
    <w:p w14:paraId="025260C1" w14:textId="66AC83E5" w:rsidR="00E90E49" w:rsidRPr="00CE0424" w:rsidRDefault="00E90E49" w:rsidP="00D546FF">
      <w:pPr>
        <w:pStyle w:val="3GPPHeader"/>
        <w:rPr>
          <w:sz w:val="22"/>
        </w:rPr>
      </w:pPr>
      <w:r w:rsidRPr="00CE0424">
        <w:rPr>
          <w:sz w:val="22"/>
        </w:rPr>
        <w:t>Document for:</w:t>
      </w:r>
      <w:r w:rsidRPr="00CE0424">
        <w:rPr>
          <w:sz w:val="22"/>
        </w:rPr>
        <w:tab/>
      </w:r>
      <w:r w:rsidR="008637DC">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ECA2972" w:rsidR="00477768" w:rsidRPr="00CE0424" w:rsidRDefault="000A4857" w:rsidP="00CE0424">
      <w:pPr>
        <w:pStyle w:val="BodyText"/>
      </w:pPr>
      <w:r>
        <w:t>Du</w:t>
      </w:r>
      <w:r w:rsidR="00DC50E3">
        <w:t>ring RAN4#106bis, a WF was approved on BS requirements for SBFD. In this document we discuss the open issues for the requirements</w:t>
      </w:r>
      <w:r w:rsidR="00F153CB">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2C1416AB" w14:textId="77777777" w:rsidR="0015731B" w:rsidRDefault="0015731B" w:rsidP="00F153CB">
      <w:pPr>
        <w:rPr>
          <w:u w:val="single"/>
          <w:lang w:val="en-GB" w:eastAsia="ja-JP"/>
        </w:rPr>
      </w:pPr>
    </w:p>
    <w:p w14:paraId="19BD5B4E" w14:textId="77B66A2C" w:rsidR="00F153CB" w:rsidRDefault="00D24F33" w:rsidP="00F153CB">
      <w:pPr>
        <w:rPr>
          <w:u w:val="single"/>
          <w:lang w:val="en-GB" w:eastAsia="ja-JP"/>
        </w:rPr>
      </w:pPr>
      <w:r w:rsidRPr="0015731B">
        <w:rPr>
          <w:u w:val="single"/>
          <w:lang w:val="en-GB" w:eastAsia="ja-JP"/>
        </w:rPr>
        <w:t>OTA sensitivity</w:t>
      </w:r>
    </w:p>
    <w:p w14:paraId="65FDF469" w14:textId="6AD21BF0" w:rsidR="0015731B" w:rsidRDefault="0015731B" w:rsidP="00F153CB">
      <w:pPr>
        <w:rPr>
          <w:lang w:val="en-GB" w:eastAsia="ja-JP"/>
        </w:rPr>
      </w:pPr>
      <w:r>
        <w:rPr>
          <w:lang w:val="en-GB" w:eastAsia="ja-JP"/>
        </w:rPr>
        <w:t xml:space="preserve">It has been agreed that an OTA sensitivity requirement, based on sensitivity </w:t>
      </w:r>
      <w:r w:rsidR="005A105E">
        <w:rPr>
          <w:lang w:val="en-GB" w:eastAsia="ja-JP"/>
        </w:rPr>
        <w:t xml:space="preserve">in the RX sub-band </w:t>
      </w:r>
      <w:r>
        <w:rPr>
          <w:lang w:val="en-GB" w:eastAsia="ja-JP"/>
        </w:rPr>
        <w:t xml:space="preserve">with the </w:t>
      </w:r>
      <w:r w:rsidR="005A105E">
        <w:rPr>
          <w:lang w:val="en-GB" w:eastAsia="ja-JP"/>
        </w:rPr>
        <w:t>transmitter turned on in the TX sub-bands is needed for SBFD. Some degradation compared to the sensitivity requirement in non-SBFD slots should be allowed for.</w:t>
      </w:r>
    </w:p>
    <w:p w14:paraId="62A3BA01" w14:textId="07A76CF8" w:rsidR="005A105E" w:rsidRDefault="005A105E" w:rsidP="00F153CB">
      <w:pPr>
        <w:rPr>
          <w:lang w:val="en-GB" w:eastAsia="ja-JP"/>
        </w:rPr>
      </w:pPr>
      <w:r>
        <w:rPr>
          <w:lang w:val="en-GB" w:eastAsia="ja-JP"/>
        </w:rPr>
        <w:t xml:space="preserve">One thing to note is that the sensitivity requirement is a minimum requirement, and BS </w:t>
      </w:r>
      <w:r w:rsidR="005B181C">
        <w:rPr>
          <w:lang w:val="en-GB" w:eastAsia="ja-JP"/>
        </w:rPr>
        <w:t>can have a lower (</w:t>
      </w:r>
      <w:proofErr w:type="gramStart"/>
      <w:r w:rsidR="005B181C">
        <w:rPr>
          <w:lang w:val="en-GB" w:eastAsia="ja-JP"/>
        </w:rPr>
        <w:t>i.e.</w:t>
      </w:r>
      <w:proofErr w:type="gramEnd"/>
      <w:r w:rsidR="005B181C">
        <w:rPr>
          <w:lang w:val="en-GB" w:eastAsia="ja-JP"/>
        </w:rPr>
        <w:t xml:space="preserve"> better) sensitivity than the minimum requirement. In this case, if the BS would meet an </w:t>
      </w:r>
      <w:proofErr w:type="spellStart"/>
      <w:r w:rsidR="005B181C">
        <w:rPr>
          <w:lang w:val="en-GB" w:eastAsia="ja-JP"/>
        </w:rPr>
        <w:t>XdB</w:t>
      </w:r>
      <w:proofErr w:type="spellEnd"/>
      <w:r w:rsidR="005B181C">
        <w:rPr>
          <w:lang w:val="en-GB" w:eastAsia="ja-JP"/>
        </w:rPr>
        <w:t xml:space="preserve"> degradation in sensitivity compared to the minimum requirement in SBFD slots then in fact the desensitization of the receiver, which would be [Minim</w:t>
      </w:r>
      <w:r w:rsidR="00E27502">
        <w:rPr>
          <w:lang w:val="en-GB" w:eastAsia="ja-JP"/>
        </w:rPr>
        <w:t>um Sensitivity + X – Real BS sensitivity] would be larger than X.</w:t>
      </w:r>
    </w:p>
    <w:p w14:paraId="72423FCB" w14:textId="62156C89" w:rsidR="00C10067" w:rsidRDefault="003B5D9F" w:rsidP="00C10067">
      <w:pPr>
        <w:pStyle w:val="Observation"/>
        <w:rPr>
          <w:lang w:val="en-GB"/>
        </w:rPr>
      </w:pPr>
      <w:bookmarkStart w:id="1" w:name="_Toc135053522"/>
      <w:r>
        <w:rPr>
          <w:lang w:val="en-GB"/>
        </w:rPr>
        <w:t xml:space="preserve">The requirement on OTA sensitivity does not ensure that the BS has no more than </w:t>
      </w:r>
      <w:proofErr w:type="spellStart"/>
      <w:r>
        <w:rPr>
          <w:lang w:val="en-GB"/>
        </w:rPr>
        <w:t>XdB</w:t>
      </w:r>
      <w:proofErr w:type="spellEnd"/>
      <w:r>
        <w:rPr>
          <w:lang w:val="en-GB"/>
        </w:rPr>
        <w:t xml:space="preserve"> degradation compared to </w:t>
      </w:r>
      <w:r w:rsidR="001C3089">
        <w:rPr>
          <w:lang w:val="en-GB"/>
        </w:rPr>
        <w:t>its</w:t>
      </w:r>
      <w:r>
        <w:rPr>
          <w:lang w:val="en-GB"/>
        </w:rPr>
        <w:t xml:space="preserve"> real sensitivity (if it’s real sensitivity is better than the minimum requirement).</w:t>
      </w:r>
      <w:bookmarkEnd w:id="1"/>
    </w:p>
    <w:p w14:paraId="3E8EEF65" w14:textId="55338464" w:rsidR="001C3089" w:rsidRDefault="00593F00" w:rsidP="00C10067">
      <w:pPr>
        <w:pStyle w:val="Observation"/>
        <w:rPr>
          <w:lang w:val="en-GB"/>
        </w:rPr>
      </w:pPr>
      <w:bookmarkStart w:id="2" w:name="_Toc135053523"/>
      <w:r>
        <w:rPr>
          <w:lang w:val="en-GB"/>
        </w:rPr>
        <w:t>Despite</w:t>
      </w:r>
      <w:r w:rsidR="001C3089">
        <w:rPr>
          <w:lang w:val="en-GB"/>
        </w:rPr>
        <w:t xml:space="preserve"> observation 1, the requirement can be based on </w:t>
      </w:r>
      <w:r>
        <w:rPr>
          <w:lang w:val="en-GB"/>
        </w:rPr>
        <w:t>minimum sensitivity for minimum requirements purposes.</w:t>
      </w:r>
      <w:bookmarkEnd w:id="2"/>
    </w:p>
    <w:p w14:paraId="15FB53AB" w14:textId="2238BDEF" w:rsidR="00E27502" w:rsidRDefault="00E27502" w:rsidP="00F153CB">
      <w:pPr>
        <w:rPr>
          <w:lang w:val="en-GB" w:eastAsia="ja-JP"/>
        </w:rPr>
      </w:pPr>
      <w:r>
        <w:rPr>
          <w:lang w:val="en-GB" w:eastAsia="ja-JP"/>
        </w:rPr>
        <w:t xml:space="preserve">An open issue for discussion is the value of X. During the SI, 1dB has been </w:t>
      </w:r>
      <w:r w:rsidR="00F36769">
        <w:rPr>
          <w:lang w:val="en-GB" w:eastAsia="ja-JP"/>
        </w:rPr>
        <w:t>referred to as an acceptable sensitivity degradation in SBFD slots. It is important to consider that all sources of interference (</w:t>
      </w:r>
      <w:r w:rsidR="007C5F1E">
        <w:rPr>
          <w:lang w:val="en-GB" w:eastAsia="ja-JP"/>
        </w:rPr>
        <w:t>i.e.,</w:t>
      </w:r>
      <w:r w:rsidR="00F36769">
        <w:rPr>
          <w:lang w:val="en-GB" w:eastAsia="ja-JP"/>
        </w:rPr>
        <w:t xml:space="preserve"> self-interference, cross sector interference, inter-</w:t>
      </w:r>
      <w:proofErr w:type="spellStart"/>
      <w:r w:rsidR="00F36769">
        <w:rPr>
          <w:lang w:val="en-GB" w:eastAsia="ja-JP"/>
        </w:rPr>
        <w:t>gNB</w:t>
      </w:r>
      <w:proofErr w:type="spellEnd"/>
      <w:r w:rsidR="00F36769">
        <w:rPr>
          <w:lang w:val="en-GB" w:eastAsia="ja-JP"/>
        </w:rPr>
        <w:t xml:space="preserve"> interference and interference from other operators) will cause the sensitivity of the receiver to degrade. Thus, if 1dB desensitization is allocated for </w:t>
      </w:r>
      <w:r w:rsidR="00714DA5">
        <w:rPr>
          <w:lang w:val="en-GB" w:eastAsia="ja-JP"/>
        </w:rPr>
        <w:t>self-interference only then during operation the real desensitization will obviously be larger.</w:t>
      </w:r>
    </w:p>
    <w:p w14:paraId="007B9E0E" w14:textId="1C755E02" w:rsidR="00593F00" w:rsidRDefault="00593F00" w:rsidP="00593F00">
      <w:pPr>
        <w:pStyle w:val="Observation"/>
        <w:rPr>
          <w:lang w:val="en-GB"/>
        </w:rPr>
      </w:pPr>
      <w:bookmarkStart w:id="3" w:name="_Toc135053524"/>
      <w:r>
        <w:rPr>
          <w:lang w:val="en-GB"/>
        </w:rPr>
        <w:t>The desensitization in SBFD slots depends on all sources of interference. If 1dB degradation is allowed for self-interference only then the degradation during operation will be greater than 1dB.</w:t>
      </w:r>
      <w:bookmarkEnd w:id="3"/>
    </w:p>
    <w:p w14:paraId="0AFBE799" w14:textId="401F2A7C" w:rsidR="00434276" w:rsidRDefault="00714DA5" w:rsidP="00F153CB">
      <w:pPr>
        <w:rPr>
          <w:lang w:val="en-GB" w:eastAsia="ja-JP"/>
        </w:rPr>
      </w:pPr>
      <w:r>
        <w:rPr>
          <w:lang w:val="en-GB" w:eastAsia="ja-JP"/>
        </w:rPr>
        <w:t xml:space="preserve">Although the other sources of interference are deployment related, they can be to some extent regulated using sub-band emissions and selectivity requirements as described below. Furthermore, when setting a requirement on self-interference cause sensitivity degradation, account can be taken of an expected </w:t>
      </w:r>
      <w:r>
        <w:rPr>
          <w:lang w:val="en-GB" w:eastAsia="ja-JP"/>
        </w:rPr>
        <w:lastRenderedPageBreak/>
        <w:t>minimum degradation from other sources</w:t>
      </w:r>
      <w:r w:rsidR="00434276">
        <w:rPr>
          <w:lang w:val="en-GB" w:eastAsia="ja-JP"/>
        </w:rPr>
        <w:t>, and the allowed degradation for self-interference correspondingly lowered.</w:t>
      </w:r>
    </w:p>
    <w:p w14:paraId="7F853199" w14:textId="2C5C3C88" w:rsidR="00593F00" w:rsidRDefault="00593F00" w:rsidP="00593F00">
      <w:pPr>
        <w:pStyle w:val="Proposal"/>
        <w:rPr>
          <w:lang w:val="en-GB"/>
        </w:rPr>
      </w:pPr>
      <w:bookmarkStart w:id="4" w:name="_Toc135053540"/>
      <w:r>
        <w:rPr>
          <w:lang w:val="en-GB"/>
        </w:rPr>
        <w:t xml:space="preserve">RAN4 discuss </w:t>
      </w:r>
      <w:r w:rsidR="00961779">
        <w:rPr>
          <w:lang w:val="en-GB"/>
        </w:rPr>
        <w:t xml:space="preserve">a reasonable degradation for self-interference only, considering </w:t>
      </w:r>
      <w:proofErr w:type="gramStart"/>
      <w:r w:rsidR="00961779">
        <w:rPr>
          <w:lang w:val="en-GB"/>
        </w:rPr>
        <w:t>an</w:t>
      </w:r>
      <w:proofErr w:type="gramEnd"/>
      <w:r w:rsidR="00961779">
        <w:rPr>
          <w:lang w:val="en-GB"/>
        </w:rPr>
        <w:t xml:space="preserve"> reasonable headroom for degradations from other interference sources.</w:t>
      </w:r>
      <w:bookmarkEnd w:id="4"/>
    </w:p>
    <w:p w14:paraId="519FBA2E" w14:textId="0F25AA34" w:rsidR="0015731B" w:rsidRDefault="00A224D0" w:rsidP="00F153CB">
      <w:pPr>
        <w:rPr>
          <w:lang w:val="en-GB" w:eastAsia="ja-JP"/>
        </w:rPr>
      </w:pPr>
      <w:r>
        <w:rPr>
          <w:lang w:val="en-GB" w:eastAsia="ja-JP"/>
        </w:rPr>
        <w:t>It has</w:t>
      </w:r>
      <w:r w:rsidR="007F2A4E">
        <w:rPr>
          <w:lang w:val="en-GB" w:eastAsia="ja-JP"/>
        </w:rPr>
        <w:t xml:space="preserve"> been observed during the SI that the beam isolation between TX and RX depends on the beam steering direction. To cover </w:t>
      </w:r>
      <w:r w:rsidR="00007D56">
        <w:rPr>
          <w:lang w:val="en-GB" w:eastAsia="ja-JP"/>
        </w:rPr>
        <w:t xml:space="preserve">the beam steering possibilities, it is proposed that </w:t>
      </w:r>
      <w:r w:rsidR="009A6586">
        <w:rPr>
          <w:lang w:val="en-GB" w:eastAsia="ja-JP"/>
        </w:rPr>
        <w:t>the OTA sensitivity is defined with TX beams within the EIRP accuracy directions range and RX beams within the OTA sensitivity range. Testing should be performed at the EIRP accuracy test directions and OTA sensitivity test directions.</w:t>
      </w:r>
    </w:p>
    <w:p w14:paraId="05F90074" w14:textId="24C8E1BE" w:rsidR="009A6586" w:rsidRDefault="009A6586" w:rsidP="009A6586">
      <w:pPr>
        <w:pStyle w:val="Proposal"/>
        <w:rPr>
          <w:lang w:val="en-GB"/>
        </w:rPr>
      </w:pPr>
      <w:bookmarkStart w:id="5" w:name="_Toc135053541"/>
      <w:r>
        <w:rPr>
          <w:lang w:val="en-GB"/>
        </w:rPr>
        <w:t xml:space="preserve">Define the OTA sensitivity requirement over the EIRP accuracy directions range and OTA sensitivity </w:t>
      </w:r>
      <w:proofErr w:type="spellStart"/>
      <w:r>
        <w:rPr>
          <w:lang w:val="en-GB"/>
        </w:rPr>
        <w:t>RoAoA</w:t>
      </w:r>
      <w:proofErr w:type="spellEnd"/>
      <w:r>
        <w:rPr>
          <w:lang w:val="en-GB"/>
        </w:rPr>
        <w:t xml:space="preserve">. </w:t>
      </w:r>
      <w:r w:rsidR="00FB1E80">
        <w:rPr>
          <w:lang w:val="en-GB"/>
        </w:rPr>
        <w:t xml:space="preserve">Conformance testing should be in </w:t>
      </w:r>
      <w:r w:rsidR="007A4EA6">
        <w:rPr>
          <w:lang w:val="en-GB"/>
        </w:rPr>
        <w:t>some</w:t>
      </w:r>
      <w:r w:rsidR="00FB1E80">
        <w:rPr>
          <w:lang w:val="en-GB"/>
        </w:rPr>
        <w:t xml:space="preserve"> EIRP testing directions and </w:t>
      </w:r>
      <w:r w:rsidR="007A4EA6">
        <w:rPr>
          <w:lang w:val="en-GB"/>
        </w:rPr>
        <w:t>some</w:t>
      </w:r>
      <w:r w:rsidR="00FB1E80">
        <w:rPr>
          <w:lang w:val="en-GB"/>
        </w:rPr>
        <w:t xml:space="preserve"> OTA sensitivity </w:t>
      </w:r>
      <w:proofErr w:type="spellStart"/>
      <w:r w:rsidR="00FB1E80">
        <w:rPr>
          <w:lang w:val="en-GB"/>
        </w:rPr>
        <w:t>RoAoA</w:t>
      </w:r>
      <w:proofErr w:type="spellEnd"/>
      <w:r w:rsidR="00FB1E80">
        <w:rPr>
          <w:lang w:val="en-GB"/>
        </w:rPr>
        <w:t xml:space="preserve"> test directions.</w:t>
      </w:r>
      <w:bookmarkEnd w:id="5"/>
    </w:p>
    <w:p w14:paraId="2E016058" w14:textId="77777777" w:rsidR="00A224D0" w:rsidRPr="0015731B" w:rsidRDefault="00A224D0" w:rsidP="00F153CB">
      <w:pPr>
        <w:rPr>
          <w:lang w:val="en-GB" w:eastAsia="ja-JP"/>
        </w:rPr>
      </w:pPr>
    </w:p>
    <w:p w14:paraId="50D9FCBA" w14:textId="576B0E34" w:rsidR="00D24F33" w:rsidRDefault="000211D7" w:rsidP="00F153CB">
      <w:pPr>
        <w:rPr>
          <w:u w:val="single"/>
          <w:lang w:val="en-GB" w:eastAsia="ja-JP"/>
        </w:rPr>
      </w:pPr>
      <w:r w:rsidRPr="00434276">
        <w:rPr>
          <w:u w:val="single"/>
          <w:lang w:val="en-GB" w:eastAsia="ja-JP"/>
        </w:rPr>
        <w:t>Sub-band transmitter leakage</w:t>
      </w:r>
    </w:p>
    <w:p w14:paraId="51679AA0" w14:textId="7A1EFB50" w:rsidR="00434276" w:rsidRDefault="00434276" w:rsidP="00F153CB">
      <w:pPr>
        <w:rPr>
          <w:lang w:val="en-GB" w:eastAsia="ja-JP"/>
        </w:rPr>
      </w:pPr>
      <w:r>
        <w:rPr>
          <w:lang w:val="en-GB" w:eastAsia="ja-JP"/>
        </w:rPr>
        <w:t>The TX sub-band signal will to some extent leak into the RX sub-band. When considering self-interference from the same sector</w:t>
      </w:r>
      <w:r w:rsidR="000B032F">
        <w:rPr>
          <w:lang w:val="en-GB" w:eastAsia="ja-JP"/>
        </w:rPr>
        <w:t>, it could be argued that the impact will be captured in the OTA sensitivity requirement and some interference mitigation techniques can be used.</w:t>
      </w:r>
    </w:p>
    <w:p w14:paraId="2BFF850C" w14:textId="34A60F4A" w:rsidR="000B032F" w:rsidRDefault="000B032F" w:rsidP="00F153CB">
      <w:pPr>
        <w:rPr>
          <w:lang w:val="en-GB" w:eastAsia="ja-JP"/>
        </w:rPr>
      </w:pPr>
      <w:r>
        <w:rPr>
          <w:lang w:val="en-GB" w:eastAsia="ja-JP"/>
        </w:rPr>
        <w:t>However, for inter-sector and especially for inter-</w:t>
      </w:r>
      <w:proofErr w:type="spellStart"/>
      <w:r>
        <w:rPr>
          <w:lang w:val="en-GB" w:eastAsia="ja-JP"/>
        </w:rPr>
        <w:t>gNB</w:t>
      </w:r>
      <w:proofErr w:type="spellEnd"/>
      <w:r>
        <w:rPr>
          <w:lang w:val="en-GB" w:eastAsia="ja-JP"/>
        </w:rPr>
        <w:t xml:space="preserve"> interference, </w:t>
      </w:r>
      <w:r w:rsidR="001E3EFE">
        <w:rPr>
          <w:lang w:val="en-GB" w:eastAsia="ja-JP"/>
        </w:rPr>
        <w:t xml:space="preserve">the impact of transmitter leakage will not be captured in the OTA sensitivity requirement. Since interference that is already in the RX sub-band cannot be mitigated, it is important that the transmitter leakage into the RX sub-band is regulated so that interference impacts from other nodes </w:t>
      </w:r>
      <w:r w:rsidR="00FF7208">
        <w:rPr>
          <w:lang w:val="en-GB" w:eastAsia="ja-JP"/>
        </w:rPr>
        <w:t>is manageable.</w:t>
      </w:r>
    </w:p>
    <w:p w14:paraId="6896DD7D" w14:textId="021A1D63" w:rsidR="00CB697C" w:rsidRDefault="00CB697C" w:rsidP="00CB697C">
      <w:pPr>
        <w:pStyle w:val="Observation"/>
        <w:rPr>
          <w:lang w:val="en-GB"/>
        </w:rPr>
      </w:pPr>
      <w:bookmarkStart w:id="6" w:name="_Toc135053525"/>
      <w:r>
        <w:rPr>
          <w:lang w:val="en-GB"/>
        </w:rPr>
        <w:t xml:space="preserve">TX sub-band leakage from other sectors or </w:t>
      </w:r>
      <w:proofErr w:type="spellStart"/>
      <w:r>
        <w:rPr>
          <w:lang w:val="en-GB"/>
        </w:rPr>
        <w:t>gNBs</w:t>
      </w:r>
      <w:proofErr w:type="spellEnd"/>
      <w:r>
        <w:rPr>
          <w:lang w:val="en-GB"/>
        </w:rPr>
        <w:t xml:space="preserve"> is not captured in the OTA sensitivity requirement</w:t>
      </w:r>
      <w:bookmarkEnd w:id="6"/>
    </w:p>
    <w:p w14:paraId="1C9D5C5F" w14:textId="7633678D" w:rsidR="00CB697C" w:rsidRDefault="00CB697C" w:rsidP="00CB697C">
      <w:pPr>
        <w:pStyle w:val="Observation"/>
        <w:rPr>
          <w:lang w:val="en-GB"/>
        </w:rPr>
      </w:pPr>
      <w:bookmarkStart w:id="7" w:name="_Toc135053526"/>
      <w:r>
        <w:rPr>
          <w:lang w:val="en-GB"/>
        </w:rPr>
        <w:t>Means to mitigate TX sub-band leakage degradation to the RX sub-band cannot be applied for other nodes.</w:t>
      </w:r>
      <w:bookmarkEnd w:id="7"/>
    </w:p>
    <w:p w14:paraId="1CA85328" w14:textId="4CCF6319" w:rsidR="00FF7208" w:rsidRDefault="00FF7208" w:rsidP="00F153CB">
      <w:pPr>
        <w:rPr>
          <w:lang w:val="en-GB" w:eastAsia="ja-JP"/>
        </w:rPr>
      </w:pPr>
      <w:r>
        <w:rPr>
          <w:lang w:val="en-GB" w:eastAsia="ja-JP"/>
        </w:rPr>
        <w:t>During the SI, it has been assumed that the TX emissions will be supressed at least by ACLR (with some bandwidth scaling). For a requirement, the same assumption would be a good starting point.</w:t>
      </w:r>
    </w:p>
    <w:p w14:paraId="71BE6C30" w14:textId="4C1A0054" w:rsidR="00185405" w:rsidRDefault="00185405" w:rsidP="00185405">
      <w:pPr>
        <w:pStyle w:val="Proposal"/>
        <w:rPr>
          <w:lang w:val="en-GB"/>
        </w:rPr>
      </w:pPr>
      <w:bookmarkStart w:id="8" w:name="_Toc135053542"/>
      <w:r>
        <w:rPr>
          <w:lang w:val="en-GB"/>
        </w:rPr>
        <w:t>Consider ACLR (scaled according to bandwidths) as a baseline for a TX sub-band leakage requirement.</w:t>
      </w:r>
      <w:bookmarkEnd w:id="8"/>
    </w:p>
    <w:p w14:paraId="073CB861" w14:textId="77777777" w:rsidR="00434276" w:rsidRPr="00434276" w:rsidRDefault="00434276" w:rsidP="00F153CB">
      <w:pPr>
        <w:rPr>
          <w:lang w:val="en-GB" w:eastAsia="ja-JP"/>
        </w:rPr>
      </w:pPr>
    </w:p>
    <w:p w14:paraId="2133604C" w14:textId="3762EC21" w:rsidR="000211D7" w:rsidRDefault="000211D7" w:rsidP="00F153CB">
      <w:pPr>
        <w:rPr>
          <w:u w:val="single"/>
          <w:lang w:val="en-GB" w:eastAsia="ja-JP"/>
        </w:rPr>
      </w:pPr>
      <w:r w:rsidRPr="00FF7208">
        <w:rPr>
          <w:u w:val="single"/>
          <w:lang w:val="en-GB" w:eastAsia="ja-JP"/>
        </w:rPr>
        <w:t>Sub-band selectivity</w:t>
      </w:r>
    </w:p>
    <w:p w14:paraId="2E29289E" w14:textId="23E12646" w:rsidR="00FF7208" w:rsidRDefault="00FF7208" w:rsidP="00F153CB">
      <w:pPr>
        <w:rPr>
          <w:lang w:val="en-GB" w:eastAsia="ja-JP"/>
        </w:rPr>
      </w:pPr>
      <w:r>
        <w:rPr>
          <w:lang w:val="en-GB" w:eastAsia="ja-JP"/>
        </w:rPr>
        <w:t xml:space="preserve">The receiver </w:t>
      </w:r>
      <w:r w:rsidR="00B74F00">
        <w:rPr>
          <w:lang w:val="en-GB" w:eastAsia="ja-JP"/>
        </w:rPr>
        <w:t xml:space="preserve">in the RX sub-band needs to provide sufficient selectivity and blocking protection against the TX sub-band. </w:t>
      </w:r>
      <w:r w:rsidR="00423C08">
        <w:rPr>
          <w:lang w:val="en-GB" w:eastAsia="ja-JP"/>
        </w:rPr>
        <w:t>When considering self-interference</w:t>
      </w:r>
      <w:r w:rsidR="00992353">
        <w:rPr>
          <w:lang w:val="en-GB" w:eastAsia="ja-JP"/>
        </w:rPr>
        <w:t xml:space="preserve">, the receiver selectivity is implicitly captured in the OTA sensitivity requirement. In some circumstances, </w:t>
      </w:r>
      <w:r w:rsidR="003438B6">
        <w:rPr>
          <w:lang w:val="en-GB" w:eastAsia="ja-JP"/>
        </w:rPr>
        <w:t>measures may be taken to reduce the impact of TX power.</w:t>
      </w:r>
    </w:p>
    <w:p w14:paraId="249364CE" w14:textId="76D128A3" w:rsidR="003438B6" w:rsidRDefault="003438B6" w:rsidP="00F153CB">
      <w:pPr>
        <w:rPr>
          <w:lang w:val="en-GB" w:eastAsia="ja-JP"/>
        </w:rPr>
      </w:pPr>
      <w:r>
        <w:rPr>
          <w:lang w:val="en-GB" w:eastAsia="ja-JP"/>
        </w:rPr>
        <w:t xml:space="preserve">The RX sub-band receiver must also </w:t>
      </w:r>
      <w:r w:rsidR="00B81AF9">
        <w:rPr>
          <w:lang w:val="en-GB" w:eastAsia="ja-JP"/>
        </w:rPr>
        <w:t xml:space="preserve">be selective for power in the TX sub-band coming from other sectors or other </w:t>
      </w:r>
      <w:proofErr w:type="spellStart"/>
      <w:r w:rsidR="00B81AF9">
        <w:rPr>
          <w:lang w:val="en-GB" w:eastAsia="ja-JP"/>
        </w:rPr>
        <w:t>gNB</w:t>
      </w:r>
      <w:proofErr w:type="spellEnd"/>
      <w:r w:rsidR="008F13CD">
        <w:rPr>
          <w:lang w:val="en-GB" w:eastAsia="ja-JP"/>
        </w:rPr>
        <w:t>. This is not captured in the OTA sensitivity requirement, and measures taken (</w:t>
      </w:r>
      <w:r w:rsidR="0076459E">
        <w:rPr>
          <w:lang w:val="en-GB" w:eastAsia="ja-JP"/>
        </w:rPr>
        <w:t>e.g.,</w:t>
      </w:r>
      <w:r w:rsidR="008F13CD">
        <w:rPr>
          <w:lang w:val="en-GB" w:eastAsia="ja-JP"/>
        </w:rPr>
        <w:t xml:space="preserve"> analogue IC) to mitigate TX power for self-interference may not be available</w:t>
      </w:r>
      <w:r w:rsidR="008B6FDB">
        <w:rPr>
          <w:lang w:val="en-GB" w:eastAsia="ja-JP"/>
        </w:rPr>
        <w:t>. Thus, for good performance when deployed the receiver needs to display selectivity towards TX power coming from other nodes.</w:t>
      </w:r>
    </w:p>
    <w:p w14:paraId="5F9E9E8B" w14:textId="56CE3584" w:rsidR="00185405" w:rsidRDefault="00185405" w:rsidP="00185405">
      <w:pPr>
        <w:pStyle w:val="Observation"/>
        <w:rPr>
          <w:lang w:val="en-GB"/>
        </w:rPr>
      </w:pPr>
      <w:bookmarkStart w:id="9" w:name="_Toc135053527"/>
      <w:r>
        <w:rPr>
          <w:lang w:val="en-GB"/>
        </w:rPr>
        <w:t>The OTA sensitivity requirement does not capture RX degradation due to TX sub-bands from other nodes.</w:t>
      </w:r>
      <w:bookmarkEnd w:id="9"/>
    </w:p>
    <w:p w14:paraId="41B46C39" w14:textId="2B4607BE" w:rsidR="00185405" w:rsidRDefault="00185405" w:rsidP="00185405">
      <w:pPr>
        <w:pStyle w:val="Observation"/>
        <w:rPr>
          <w:lang w:val="en-GB"/>
        </w:rPr>
      </w:pPr>
      <w:bookmarkStart w:id="10" w:name="_Toc135053528"/>
      <w:r>
        <w:rPr>
          <w:lang w:val="en-GB"/>
        </w:rPr>
        <w:t>Measures to mitigate the impact of TX sub-band leakage from the own transmitter may not work for power coming from other nodes.</w:t>
      </w:r>
      <w:bookmarkEnd w:id="10"/>
    </w:p>
    <w:p w14:paraId="1E4623E6" w14:textId="2941C567" w:rsidR="008B6FDB" w:rsidRDefault="008B6FDB" w:rsidP="00F153CB">
      <w:pPr>
        <w:rPr>
          <w:lang w:val="en-GB" w:eastAsia="ja-JP"/>
        </w:rPr>
      </w:pPr>
      <w:r>
        <w:rPr>
          <w:lang w:val="en-GB" w:eastAsia="ja-JP"/>
        </w:rPr>
        <w:t>During the SI, ACS was assumed for the inter-sub-band selectivity. This would be a good baseline for a requirement.</w:t>
      </w:r>
    </w:p>
    <w:p w14:paraId="01C2761E" w14:textId="65437C6F" w:rsidR="00185405" w:rsidRDefault="00185405" w:rsidP="00185405">
      <w:pPr>
        <w:pStyle w:val="Proposal"/>
        <w:rPr>
          <w:lang w:val="en-GB"/>
        </w:rPr>
      </w:pPr>
      <w:bookmarkStart w:id="11" w:name="_Toc135053543"/>
      <w:r>
        <w:rPr>
          <w:lang w:val="en-GB"/>
        </w:rPr>
        <w:t>Consider ACS as a baseline for an RX sub-band selectivity requirement.</w:t>
      </w:r>
      <w:bookmarkEnd w:id="11"/>
    </w:p>
    <w:p w14:paraId="3839A9BB" w14:textId="77777777" w:rsidR="00B74F00" w:rsidRPr="00FF7208" w:rsidRDefault="00B74F00" w:rsidP="00F153CB">
      <w:pPr>
        <w:rPr>
          <w:lang w:val="en-GB" w:eastAsia="ja-JP"/>
        </w:rPr>
      </w:pPr>
    </w:p>
    <w:p w14:paraId="2D7EA3C2" w14:textId="5FF9B7D8" w:rsidR="000211D7" w:rsidRDefault="000211D7" w:rsidP="00F153CB">
      <w:pPr>
        <w:rPr>
          <w:u w:val="single"/>
          <w:lang w:val="en-GB" w:eastAsia="ja-JP"/>
        </w:rPr>
      </w:pPr>
      <w:r w:rsidRPr="008B6FDB">
        <w:rPr>
          <w:u w:val="single"/>
          <w:lang w:val="en-GB" w:eastAsia="ja-JP"/>
        </w:rPr>
        <w:lastRenderedPageBreak/>
        <w:t>TDD switching</w:t>
      </w:r>
    </w:p>
    <w:p w14:paraId="10C73B83" w14:textId="520DA999" w:rsidR="008B6FDB" w:rsidRDefault="008B6FDB" w:rsidP="00F153CB">
      <w:pPr>
        <w:rPr>
          <w:lang w:val="en-GB" w:eastAsia="ja-JP"/>
        </w:rPr>
      </w:pPr>
      <w:r>
        <w:rPr>
          <w:lang w:val="en-GB" w:eastAsia="ja-JP"/>
        </w:rPr>
        <w:t>TDD switching becomes somewhat more complex for SBFD.</w:t>
      </w:r>
      <w:r w:rsidR="00A61788">
        <w:rPr>
          <w:lang w:val="en-GB" w:eastAsia="ja-JP"/>
        </w:rPr>
        <w:t xml:space="preserve"> Since there may be regular UL slots and regular DL slots, then there is still a need for switching requirements.</w:t>
      </w:r>
    </w:p>
    <w:p w14:paraId="318DB8D5" w14:textId="2B293087" w:rsidR="00185405" w:rsidRDefault="00185405" w:rsidP="00185405">
      <w:pPr>
        <w:pStyle w:val="Observation"/>
        <w:rPr>
          <w:lang w:val="en-GB"/>
        </w:rPr>
      </w:pPr>
      <w:bookmarkStart w:id="12" w:name="_Toc135053529"/>
      <w:r>
        <w:rPr>
          <w:lang w:val="en-GB"/>
        </w:rPr>
        <w:t>There can still be switching between UL and DL slots for SBFD</w:t>
      </w:r>
      <w:bookmarkEnd w:id="12"/>
    </w:p>
    <w:p w14:paraId="5E8CCF45" w14:textId="547F97D8" w:rsidR="00A61788" w:rsidRDefault="00A61788" w:rsidP="00F153CB">
      <w:pPr>
        <w:rPr>
          <w:lang w:val="en-GB" w:eastAsia="ja-JP"/>
        </w:rPr>
      </w:pPr>
      <w:r>
        <w:rPr>
          <w:lang w:val="en-GB" w:eastAsia="ja-JP"/>
        </w:rPr>
        <w:t>When switching between regular UL or DL and SBFD, the UL sub-band may be switched between transmit and receive.</w:t>
      </w:r>
      <w:r w:rsidR="001A6A1F">
        <w:rPr>
          <w:lang w:val="en-GB" w:eastAsia="ja-JP"/>
        </w:rPr>
        <w:t xml:space="preserve"> For the PRBs in the uplink sub-band, the same considerations apply as for the case of regular UL; there may need to be a guard period to prevent interference between nodes (e.g., that TX on UL sub-band PRBs from one node propagate to another node that has already switched to RX for the UL sub-band if the guard period is not sufficiently long).</w:t>
      </w:r>
      <w:r w:rsidR="00967441">
        <w:rPr>
          <w:lang w:val="en-GB" w:eastAsia="ja-JP"/>
        </w:rPr>
        <w:t xml:space="preserve"> </w:t>
      </w:r>
      <w:r w:rsidR="00B741EA">
        <w:rPr>
          <w:lang w:val="en-GB" w:eastAsia="ja-JP"/>
        </w:rPr>
        <w:t>Also,</w:t>
      </w:r>
      <w:r w:rsidR="00967441">
        <w:rPr>
          <w:lang w:val="en-GB" w:eastAsia="ja-JP"/>
        </w:rPr>
        <w:t xml:space="preserve"> that the TDD OFF power in the UL sub-band needs to be low enough to prevent degradation in the UL sub-band for other nodes.</w:t>
      </w:r>
    </w:p>
    <w:p w14:paraId="77962A70" w14:textId="18FF1C5B" w:rsidR="00185405" w:rsidRDefault="00185405" w:rsidP="00185405">
      <w:pPr>
        <w:pStyle w:val="Observation"/>
        <w:rPr>
          <w:lang w:val="en-GB"/>
        </w:rPr>
      </w:pPr>
      <w:bookmarkStart w:id="13" w:name="_Toc135053530"/>
      <w:r>
        <w:rPr>
          <w:lang w:val="en-GB"/>
        </w:rPr>
        <w:t>When switching between TX and RX for the UL sub-band, a guard period and requirements on transient times are needed to prevent interference to/from other nodes</w:t>
      </w:r>
      <w:r w:rsidR="006D160E">
        <w:rPr>
          <w:lang w:val="en-GB"/>
        </w:rPr>
        <w:t>, same as when all PRB are switched between TX/RX.</w:t>
      </w:r>
      <w:bookmarkEnd w:id="13"/>
    </w:p>
    <w:p w14:paraId="5504B2FF" w14:textId="560EF2E1" w:rsidR="00967441" w:rsidRDefault="00967441" w:rsidP="00F153CB">
      <w:pPr>
        <w:rPr>
          <w:lang w:val="en-GB" w:eastAsia="ja-JP"/>
        </w:rPr>
      </w:pPr>
      <w:r>
        <w:rPr>
          <w:lang w:val="en-GB" w:eastAsia="ja-JP"/>
        </w:rPr>
        <w:t>The SBFD switching may involve switching in parts of the array. For example, if a part of the array used for the UL sub-band is switched from RX to TX in regular DL slots, then it could be the case that part of the array</w:t>
      </w:r>
      <w:r w:rsidR="000423B6">
        <w:rPr>
          <w:lang w:val="en-GB" w:eastAsia="ja-JP"/>
        </w:rPr>
        <w:t xml:space="preserve"> switches from transmitting in the DL sub-band only (SBFD slot) to the full carrier (regular DL), whilst another part of the array switches from RX (UL sub-band SBFD) to DL in the full carrier (regular DL). The transient period needs to allow for stabilization of the array during such periods.</w:t>
      </w:r>
    </w:p>
    <w:p w14:paraId="37D73A4C" w14:textId="519C241B" w:rsidR="006D160E" w:rsidRDefault="006D160E" w:rsidP="006D160E">
      <w:pPr>
        <w:pStyle w:val="Observation"/>
        <w:rPr>
          <w:lang w:val="en-GB"/>
        </w:rPr>
      </w:pPr>
      <w:bookmarkStart w:id="14" w:name="_Toc135053531"/>
      <w:r>
        <w:rPr>
          <w:lang w:val="en-GB"/>
        </w:rPr>
        <w:t>When parts of the array are switched between TX and RX, or from transmitting in sub-bands to the whole carrier, a transient time may be needed until the TX (or RX) is stable in the new configuration.</w:t>
      </w:r>
      <w:bookmarkEnd w:id="14"/>
    </w:p>
    <w:p w14:paraId="2B10E8D8" w14:textId="6399F149" w:rsidR="006D160E" w:rsidRDefault="006D160E" w:rsidP="006D160E">
      <w:pPr>
        <w:pStyle w:val="Proposal"/>
        <w:rPr>
          <w:lang w:val="en-GB"/>
        </w:rPr>
      </w:pPr>
      <w:bookmarkStart w:id="15" w:name="_Toc135053544"/>
      <w:r>
        <w:rPr>
          <w:lang w:val="en-GB"/>
        </w:rPr>
        <w:t xml:space="preserve">For TX switching, consider transient times for RX sub-band switching </w:t>
      </w:r>
      <w:proofErr w:type="gramStart"/>
      <w:r>
        <w:rPr>
          <w:lang w:val="en-GB"/>
        </w:rPr>
        <w:t>and also</w:t>
      </w:r>
      <w:proofErr w:type="gramEnd"/>
      <w:r>
        <w:rPr>
          <w:lang w:val="en-GB"/>
        </w:rPr>
        <w:t xml:space="preserve"> for switching parts of the array.</w:t>
      </w:r>
      <w:bookmarkEnd w:id="15"/>
    </w:p>
    <w:p w14:paraId="68A92D53" w14:textId="77777777" w:rsidR="00A61788" w:rsidRPr="008B6FDB" w:rsidRDefault="00A61788" w:rsidP="00F153CB">
      <w:pPr>
        <w:rPr>
          <w:lang w:val="en-GB" w:eastAsia="ja-JP"/>
        </w:rPr>
      </w:pPr>
    </w:p>
    <w:p w14:paraId="3300610D" w14:textId="3CEE2041" w:rsidR="00393CA9" w:rsidRDefault="00D4779A" w:rsidP="00F153CB">
      <w:pPr>
        <w:rPr>
          <w:u w:val="single"/>
          <w:lang w:val="en-GB" w:eastAsia="ja-JP"/>
        </w:rPr>
      </w:pPr>
      <w:r w:rsidRPr="00815056">
        <w:rPr>
          <w:u w:val="single"/>
          <w:lang w:val="en-GB" w:eastAsia="ja-JP"/>
        </w:rPr>
        <w:t>TX intermodulation</w:t>
      </w:r>
    </w:p>
    <w:p w14:paraId="5A590333" w14:textId="22CA4E3E" w:rsidR="00815056" w:rsidRDefault="00815056" w:rsidP="00F153CB">
      <w:pPr>
        <w:rPr>
          <w:lang w:val="en-GB" w:eastAsia="ja-JP"/>
        </w:rPr>
      </w:pPr>
      <w:r>
        <w:rPr>
          <w:lang w:val="en-GB" w:eastAsia="ja-JP"/>
        </w:rPr>
        <w:t xml:space="preserve">The TX intermodulation requirement ensures that, when the transmitter is exposed to a </w:t>
      </w:r>
      <w:r w:rsidR="005E4172">
        <w:rPr>
          <w:lang w:val="en-GB" w:eastAsia="ja-JP"/>
        </w:rPr>
        <w:t>high-power</w:t>
      </w:r>
      <w:r>
        <w:rPr>
          <w:lang w:val="en-GB" w:eastAsia="ja-JP"/>
        </w:rPr>
        <w:t xml:space="preserve"> reverse intermodulation signal, the </w:t>
      </w:r>
      <w:r w:rsidR="005E4172">
        <w:rPr>
          <w:lang w:val="en-GB" w:eastAsia="ja-JP"/>
        </w:rPr>
        <w:t xml:space="preserve">emissions requirements are maintained. In general, </w:t>
      </w:r>
      <w:r w:rsidR="00B23469">
        <w:rPr>
          <w:lang w:val="en-GB" w:eastAsia="ja-JP"/>
        </w:rPr>
        <w:t xml:space="preserve">during SBFD slots, the BS cannot be exposed to a </w:t>
      </w:r>
      <w:r w:rsidR="009A05DF">
        <w:rPr>
          <w:lang w:val="en-GB" w:eastAsia="ja-JP"/>
        </w:rPr>
        <w:t>high-power</w:t>
      </w:r>
      <w:r w:rsidR="00B23469">
        <w:rPr>
          <w:lang w:val="en-GB" w:eastAsia="ja-JP"/>
        </w:rPr>
        <w:t xml:space="preserve"> signal because otherwise the SBFD operation would be compromised. However, there may still be a need for regulatory purposes</w:t>
      </w:r>
      <w:r w:rsidR="00EE3EFA">
        <w:rPr>
          <w:lang w:val="en-GB" w:eastAsia="ja-JP"/>
        </w:rPr>
        <w:t xml:space="preserve"> (e.g., in Japan)</w:t>
      </w:r>
      <w:r w:rsidR="00B23469">
        <w:rPr>
          <w:lang w:val="en-GB" w:eastAsia="ja-JP"/>
        </w:rPr>
        <w:t xml:space="preserve"> to ensure that the transmitter is robust to reverse intermodulation. </w:t>
      </w:r>
      <w:r w:rsidR="0068759F">
        <w:rPr>
          <w:lang w:val="en-GB" w:eastAsia="ja-JP"/>
        </w:rPr>
        <w:t>Furthermore, away from the carrier the transmitter may still be exposed to high power signals, in particular outside of the band.</w:t>
      </w:r>
    </w:p>
    <w:p w14:paraId="5DBD3E66" w14:textId="10AE8CDC" w:rsidR="009F2485" w:rsidRDefault="009F2485" w:rsidP="009F2485">
      <w:pPr>
        <w:pStyle w:val="Observation"/>
        <w:rPr>
          <w:lang w:val="en-GB"/>
        </w:rPr>
      </w:pPr>
      <w:bookmarkStart w:id="16" w:name="_Toc135053532"/>
      <w:r>
        <w:rPr>
          <w:lang w:val="en-GB"/>
        </w:rPr>
        <w:t xml:space="preserve">The transmitter should be built to be robust to reverse </w:t>
      </w:r>
      <w:r w:rsidR="00693F1D">
        <w:rPr>
          <w:lang w:val="en-GB"/>
        </w:rPr>
        <w:t>intermodulation</w:t>
      </w:r>
      <w:bookmarkEnd w:id="16"/>
    </w:p>
    <w:p w14:paraId="61C9208E" w14:textId="7D5D65E8" w:rsidR="007600DB" w:rsidRDefault="007600DB" w:rsidP="00F153CB">
      <w:pPr>
        <w:rPr>
          <w:lang w:val="en-GB" w:eastAsia="ja-JP"/>
        </w:rPr>
      </w:pPr>
      <w:r>
        <w:rPr>
          <w:lang w:val="en-GB" w:eastAsia="ja-JP"/>
        </w:rPr>
        <w:t xml:space="preserve">Assuming that TX intermodulation is tested for normal DL operation of the transmitter, this may be sufficient. </w:t>
      </w:r>
    </w:p>
    <w:p w14:paraId="0F1DC322" w14:textId="05C9D17B" w:rsidR="009F2485" w:rsidRDefault="009F2485" w:rsidP="009F2485">
      <w:pPr>
        <w:pStyle w:val="Observation"/>
        <w:rPr>
          <w:lang w:val="en-GB"/>
        </w:rPr>
      </w:pPr>
      <w:bookmarkStart w:id="17" w:name="_Toc135053533"/>
      <w:r>
        <w:rPr>
          <w:lang w:val="en-GB"/>
        </w:rPr>
        <w:t>Meeting RX intermodulation in regular DL slots may be sufficient</w:t>
      </w:r>
      <w:r w:rsidR="00693F1D">
        <w:rPr>
          <w:lang w:val="en-GB"/>
        </w:rPr>
        <w:t>.</w:t>
      </w:r>
      <w:bookmarkEnd w:id="17"/>
    </w:p>
    <w:p w14:paraId="4C4C4C43" w14:textId="7F20A30D" w:rsidR="007600DB" w:rsidRDefault="007600DB" w:rsidP="00F153CB">
      <w:pPr>
        <w:rPr>
          <w:lang w:val="en-GB" w:eastAsia="ja-JP"/>
        </w:rPr>
      </w:pPr>
      <w:r>
        <w:rPr>
          <w:lang w:val="en-GB" w:eastAsia="ja-JP"/>
        </w:rPr>
        <w:t xml:space="preserve">If TX intermodulation would be tested in SBFD slots, clearly this would be testing the robustness of the transmitter in an exceptional condition and there should be no requirement that the RX sub-band should operate </w:t>
      </w:r>
      <w:r w:rsidR="00A709D3">
        <w:rPr>
          <w:lang w:val="en-GB" w:eastAsia="ja-JP"/>
        </w:rPr>
        <w:t>during such a condition.</w:t>
      </w:r>
    </w:p>
    <w:p w14:paraId="2D4C1C6B" w14:textId="10C6608C" w:rsidR="00693F1D" w:rsidRDefault="00693F1D" w:rsidP="00693F1D">
      <w:pPr>
        <w:pStyle w:val="Observation"/>
        <w:rPr>
          <w:lang w:val="en-GB"/>
        </w:rPr>
      </w:pPr>
      <w:bookmarkStart w:id="18" w:name="_Toc135053534"/>
      <w:r>
        <w:rPr>
          <w:lang w:val="en-GB"/>
        </w:rPr>
        <w:t>In case TX intermodulation is tested during SBFD slots, this relates to exceptional conditions and there should be no requirement on the RX sub-band in such conditions.</w:t>
      </w:r>
      <w:bookmarkEnd w:id="18"/>
    </w:p>
    <w:p w14:paraId="37C783CD" w14:textId="77777777" w:rsidR="00815056" w:rsidRPr="00815056" w:rsidRDefault="00815056" w:rsidP="00F153CB">
      <w:pPr>
        <w:rPr>
          <w:lang w:val="en-GB" w:eastAsia="ja-JP"/>
        </w:rPr>
      </w:pPr>
    </w:p>
    <w:p w14:paraId="53315958" w14:textId="04D12828" w:rsidR="00D4779A" w:rsidRDefault="00D4779A" w:rsidP="00F153CB">
      <w:pPr>
        <w:rPr>
          <w:u w:val="single"/>
          <w:lang w:val="en-GB" w:eastAsia="ja-JP"/>
        </w:rPr>
      </w:pPr>
      <w:r w:rsidRPr="00A709D3">
        <w:rPr>
          <w:u w:val="single"/>
          <w:lang w:val="en-GB" w:eastAsia="ja-JP"/>
        </w:rPr>
        <w:t>Co-location</w:t>
      </w:r>
    </w:p>
    <w:p w14:paraId="2EDFEB11" w14:textId="5D4163AB" w:rsidR="00A709D3" w:rsidRDefault="00A709D3" w:rsidP="00F153CB">
      <w:pPr>
        <w:rPr>
          <w:lang w:val="en-GB" w:eastAsia="ja-JP"/>
        </w:rPr>
      </w:pPr>
      <w:r>
        <w:rPr>
          <w:lang w:val="en-GB" w:eastAsia="ja-JP"/>
        </w:rPr>
        <w:t>Co-location and co-existence in the same geographical area requirements are derived assuming 30dB isolation</w:t>
      </w:r>
      <w:r w:rsidR="00952AC1">
        <w:rPr>
          <w:lang w:val="en-GB" w:eastAsia="ja-JP"/>
        </w:rPr>
        <w:t xml:space="preserve"> for enabling co-location of BS in different bands, or co-existence between BS in different bands that are not co-located but are near to one another.</w:t>
      </w:r>
    </w:p>
    <w:p w14:paraId="09BA7D1A" w14:textId="2878F414" w:rsidR="00952AC1" w:rsidRDefault="00952AC1" w:rsidP="00F153CB">
      <w:pPr>
        <w:rPr>
          <w:lang w:val="en-GB" w:eastAsia="ja-JP"/>
        </w:rPr>
      </w:pPr>
      <w:r>
        <w:rPr>
          <w:lang w:val="en-GB" w:eastAsia="ja-JP"/>
        </w:rPr>
        <w:lastRenderedPageBreak/>
        <w:t xml:space="preserve">The co-location and co-existence </w:t>
      </w:r>
      <w:r w:rsidR="00EE3EFA">
        <w:rPr>
          <w:lang w:val="en-GB" w:eastAsia="ja-JP"/>
        </w:rPr>
        <w:t xml:space="preserve">emissions and blocking </w:t>
      </w:r>
      <w:r>
        <w:rPr>
          <w:lang w:val="en-GB" w:eastAsia="ja-JP"/>
        </w:rPr>
        <w:t xml:space="preserve">requirements between bands are optional and compliance is declared by the vendor. Declaring compliance implies that the operator can deploy BS without </w:t>
      </w:r>
      <w:r w:rsidR="005B5F2F">
        <w:rPr>
          <w:lang w:val="en-GB" w:eastAsia="ja-JP"/>
        </w:rPr>
        <w:t>a risk of causing interference to adjacent bands.</w:t>
      </w:r>
    </w:p>
    <w:p w14:paraId="63293782" w14:textId="0B53B1D3" w:rsidR="00A5586E" w:rsidRDefault="00A5586E" w:rsidP="00A5586E">
      <w:pPr>
        <w:pStyle w:val="Observation"/>
        <w:rPr>
          <w:lang w:val="en-GB"/>
        </w:rPr>
      </w:pPr>
      <w:bookmarkStart w:id="19" w:name="_Toc135053535"/>
      <w:r>
        <w:rPr>
          <w:lang w:val="en-GB"/>
        </w:rPr>
        <w:t>Co-location requirements are standardized so that operators can deploy BS in different bands with confidence that proprietary solutions are not needed.</w:t>
      </w:r>
      <w:bookmarkEnd w:id="19"/>
    </w:p>
    <w:p w14:paraId="4ACED144" w14:textId="38D2E115" w:rsidR="00A5586E" w:rsidRDefault="00A5586E" w:rsidP="00A5586E">
      <w:pPr>
        <w:pStyle w:val="Observation"/>
        <w:rPr>
          <w:lang w:val="en-GB"/>
        </w:rPr>
      </w:pPr>
      <w:bookmarkStart w:id="20" w:name="_Toc135053536"/>
      <w:r>
        <w:rPr>
          <w:lang w:val="en-GB"/>
        </w:rPr>
        <w:t xml:space="preserve">Co-existence between bands requirements </w:t>
      </w:r>
      <w:proofErr w:type="gramStart"/>
      <w:r>
        <w:rPr>
          <w:lang w:val="en-GB"/>
        </w:rPr>
        <w:t>are</w:t>
      </w:r>
      <w:proofErr w:type="gramEnd"/>
      <w:r>
        <w:rPr>
          <w:lang w:val="en-GB"/>
        </w:rPr>
        <w:t xml:space="preserve"> standardized to ensure that deployments in different bands at different sites</w:t>
      </w:r>
      <w:r w:rsidR="004C33FA">
        <w:rPr>
          <w:lang w:val="en-GB"/>
        </w:rPr>
        <w:t xml:space="preserve"> will not interfere to one another.</w:t>
      </w:r>
      <w:bookmarkEnd w:id="20"/>
    </w:p>
    <w:p w14:paraId="7B9DA317" w14:textId="55770194" w:rsidR="004C33FA" w:rsidRDefault="004C33FA" w:rsidP="00A5586E">
      <w:pPr>
        <w:pStyle w:val="Observation"/>
        <w:rPr>
          <w:lang w:val="en-GB"/>
        </w:rPr>
      </w:pPr>
      <w:bookmarkStart w:id="21" w:name="_Toc135053537"/>
      <w:r w:rsidRPr="68F8CD63">
        <w:rPr>
          <w:lang w:val="en-GB"/>
        </w:rPr>
        <w:t>Co-location and co-existence between bands requirements are optional and support is declared.</w:t>
      </w:r>
      <w:bookmarkEnd w:id="21"/>
    </w:p>
    <w:p w14:paraId="64343249" w14:textId="3B516F45" w:rsidR="005B5F2F" w:rsidRDefault="005B5F2F" w:rsidP="00F153CB">
      <w:pPr>
        <w:rPr>
          <w:lang w:val="en-GB" w:eastAsia="ja-JP"/>
        </w:rPr>
      </w:pPr>
      <w:r>
        <w:rPr>
          <w:lang w:val="en-GB" w:eastAsia="ja-JP"/>
        </w:rPr>
        <w:t>It does not make sense to relax these requirements, as they are intended to capture that the BS is capable of co-location/co-existence between bands without “special” measures. Relaxing the requirements would imply another level of co-location or co-existence</w:t>
      </w:r>
      <w:r w:rsidR="00D05E5A">
        <w:rPr>
          <w:lang w:val="en-GB" w:eastAsia="ja-JP"/>
        </w:rPr>
        <w:t xml:space="preserve">, which does not always give protection. There is not a purpose of having a standardized requirement if proprietary techniques are needed to achieve isolation between co-located BS in different bands or situations where BS in different bands are close to one another, since meeting the requirement </w:t>
      </w:r>
      <w:r w:rsidR="001C42D8">
        <w:rPr>
          <w:lang w:val="en-GB" w:eastAsia="ja-JP"/>
        </w:rPr>
        <w:t>would not enable deployment without proprietary planning.</w:t>
      </w:r>
    </w:p>
    <w:p w14:paraId="1B3A12EF" w14:textId="3471A71A" w:rsidR="00F872BC" w:rsidRDefault="00F872BC" w:rsidP="00F153CB">
      <w:pPr>
        <w:rPr>
          <w:lang w:val="en-GB" w:eastAsia="ja-JP"/>
        </w:rPr>
      </w:pPr>
      <w:r>
        <w:rPr>
          <w:lang w:val="en-GB" w:eastAsia="ja-JP"/>
        </w:rPr>
        <w:t>It is als</w:t>
      </w:r>
      <w:r w:rsidR="00880805">
        <w:rPr>
          <w:lang w:val="en-GB" w:eastAsia="ja-JP"/>
        </w:rPr>
        <w:t>o important to consider that the co-existence and co-location requirements for different bands in general do not assume synchronized TDD patterns between the bands</w:t>
      </w:r>
      <w:r w:rsidR="00DB7C2E">
        <w:rPr>
          <w:lang w:val="en-GB" w:eastAsia="ja-JP"/>
        </w:rPr>
        <w:t xml:space="preserve"> (an exception is for bands that are adjacent)</w:t>
      </w:r>
      <w:r w:rsidR="00880805">
        <w:rPr>
          <w:lang w:val="en-GB" w:eastAsia="ja-JP"/>
        </w:rPr>
        <w:t>. Hence</w:t>
      </w:r>
      <w:r w:rsidR="00322910">
        <w:rPr>
          <w:lang w:val="en-GB" w:eastAsia="ja-JP"/>
        </w:rPr>
        <w:t>, the situation for SBFD</w:t>
      </w:r>
      <w:r w:rsidR="00B36044">
        <w:rPr>
          <w:lang w:val="en-GB" w:eastAsia="ja-JP"/>
        </w:rPr>
        <w:t xml:space="preserve"> is not different to non-SBFD. Co-location requirements between bands are met by means of band-wide analogue filtering.</w:t>
      </w:r>
    </w:p>
    <w:p w14:paraId="09E1B331" w14:textId="4F6BAECE" w:rsidR="00DB7C2E" w:rsidRDefault="00DB7C2E" w:rsidP="00157423">
      <w:pPr>
        <w:pStyle w:val="Observation"/>
        <w:rPr>
          <w:lang w:val="en-GB"/>
        </w:rPr>
      </w:pPr>
      <w:bookmarkStart w:id="22" w:name="_Toc135053538"/>
      <w:r>
        <w:rPr>
          <w:lang w:val="en-GB"/>
        </w:rPr>
        <w:t xml:space="preserve">Regardless of </w:t>
      </w:r>
      <w:r w:rsidR="00157423">
        <w:rPr>
          <w:lang w:val="en-GB"/>
        </w:rPr>
        <w:t>S</w:t>
      </w:r>
      <w:r>
        <w:rPr>
          <w:lang w:val="en-GB"/>
        </w:rPr>
        <w:t>BFD or non-SBFD, co-location requirements between bands do not assume synchronization between TDD patterns and are met by means of a band-wide analogue filter.</w:t>
      </w:r>
      <w:bookmarkEnd w:id="22"/>
    </w:p>
    <w:p w14:paraId="5F0BC05E" w14:textId="6CC7DC55" w:rsidR="004C33FA" w:rsidRDefault="004C33FA" w:rsidP="004C33FA">
      <w:pPr>
        <w:pStyle w:val="Observation"/>
        <w:rPr>
          <w:lang w:val="en-GB"/>
        </w:rPr>
      </w:pPr>
      <w:bookmarkStart w:id="23" w:name="_Toc135053539"/>
      <w:r>
        <w:rPr>
          <w:lang w:val="en-GB"/>
        </w:rPr>
        <w:t xml:space="preserve">It does not make sense to standardize relaxed co-location/co-existence requirements, since meeting them would not </w:t>
      </w:r>
      <w:r w:rsidR="00CA607C">
        <w:rPr>
          <w:lang w:val="en-GB"/>
        </w:rPr>
        <w:t>mean that proprietary solutions would not be needed.</w:t>
      </w:r>
      <w:bookmarkEnd w:id="23"/>
    </w:p>
    <w:p w14:paraId="65FE3431" w14:textId="0FC9FC38" w:rsidR="001C42D8" w:rsidRDefault="001C42D8" w:rsidP="00F153CB">
      <w:pPr>
        <w:rPr>
          <w:lang w:val="en-GB" w:eastAsia="ja-JP"/>
        </w:rPr>
      </w:pPr>
      <w:r>
        <w:rPr>
          <w:lang w:val="en-GB" w:eastAsia="ja-JP"/>
        </w:rPr>
        <w:t>Clearly, however the co-location and co-existence between bands requirements should remain optional for SBFD BS.</w:t>
      </w:r>
    </w:p>
    <w:p w14:paraId="5E344ECB" w14:textId="6EE54651" w:rsidR="00CA607C" w:rsidRDefault="00CA607C" w:rsidP="00CA607C">
      <w:pPr>
        <w:pStyle w:val="Proposal"/>
        <w:rPr>
          <w:lang w:val="en-GB"/>
        </w:rPr>
      </w:pPr>
      <w:bookmarkStart w:id="24" w:name="_Toc135053545"/>
      <w:r>
        <w:rPr>
          <w:lang w:val="en-GB"/>
        </w:rPr>
        <w:t>Maintain co-location and co-existence between bands requirements that are optional for SBFD BS.</w:t>
      </w:r>
      <w:bookmarkEnd w:id="24"/>
    </w:p>
    <w:p w14:paraId="1F82F731" w14:textId="77777777" w:rsidR="001C42D8" w:rsidRPr="00A709D3" w:rsidRDefault="001C42D8" w:rsidP="00F153CB">
      <w:pPr>
        <w:rPr>
          <w:lang w:val="en-GB" w:eastAsia="ja-JP"/>
        </w:rPr>
      </w:pPr>
    </w:p>
    <w:p w14:paraId="204A3BBD" w14:textId="3B217906" w:rsidR="0015731B" w:rsidRDefault="0015731B" w:rsidP="00F153CB">
      <w:pPr>
        <w:rPr>
          <w:u w:val="single"/>
          <w:lang w:val="en-GB" w:eastAsia="ja-JP"/>
        </w:rPr>
      </w:pPr>
      <w:r w:rsidRPr="001C42D8">
        <w:rPr>
          <w:u w:val="single"/>
          <w:lang w:val="en-GB" w:eastAsia="ja-JP"/>
        </w:rPr>
        <w:t>Dynamic range requirement</w:t>
      </w:r>
    </w:p>
    <w:p w14:paraId="23DCB033" w14:textId="44E5D2EE" w:rsidR="001C42D8" w:rsidRPr="001C42D8" w:rsidRDefault="00362C7D" w:rsidP="00F153CB">
      <w:pPr>
        <w:rPr>
          <w:lang w:val="en-GB" w:eastAsia="ja-JP"/>
        </w:rPr>
      </w:pPr>
      <w:r>
        <w:rPr>
          <w:lang w:val="en-GB" w:eastAsia="ja-JP"/>
        </w:rPr>
        <w:t xml:space="preserve">During RAN4#106bis-e, it was noted that the UL dynamic range requirement may need adjustment, since during SBFD slots the UL </w:t>
      </w:r>
      <w:r w:rsidR="00E264E4">
        <w:rPr>
          <w:lang w:val="en-GB" w:eastAsia="ja-JP"/>
        </w:rPr>
        <w:t xml:space="preserve">noise level may be greater, implying a somewhat greater total UL power to reach SNR targets. This can be </w:t>
      </w:r>
      <w:r w:rsidR="00157423">
        <w:rPr>
          <w:lang w:val="en-GB" w:eastAsia="ja-JP"/>
        </w:rPr>
        <w:t>investigated,</w:t>
      </w:r>
      <w:r w:rsidR="00E264E4">
        <w:rPr>
          <w:lang w:val="en-GB" w:eastAsia="ja-JP"/>
        </w:rPr>
        <w:t xml:space="preserve"> and the dynamic range requirement adjusted</w:t>
      </w:r>
      <w:r w:rsidR="00C10067">
        <w:rPr>
          <w:lang w:val="en-GB" w:eastAsia="ja-JP"/>
        </w:rPr>
        <w:t xml:space="preserve"> as needed.</w:t>
      </w:r>
    </w:p>
    <w:p w14:paraId="681100E6" w14:textId="77777777" w:rsidR="00C473A5" w:rsidRDefault="00C473A5" w:rsidP="00CA607C">
      <w:pPr>
        <w:pStyle w:val="Heading2"/>
        <w:ind w:left="0" w:firstLine="0"/>
      </w:pPr>
    </w:p>
    <w:p w14:paraId="3879E8F8" w14:textId="27811587" w:rsidR="00CA607C" w:rsidRPr="00CA607C" w:rsidRDefault="00CA607C" w:rsidP="00CA607C">
      <w:pPr>
        <w:pStyle w:val="Proposal"/>
        <w:rPr>
          <w:lang w:val="en-GB"/>
        </w:rPr>
        <w:sectPr w:rsidR="00CA607C" w:rsidRPr="00CA607C" w:rsidSect="00C1006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bookmarkStart w:id="25" w:name="_Toc135053546"/>
      <w:r>
        <w:rPr>
          <w:lang w:val="en-GB"/>
        </w:rPr>
        <w:t>Adjust UL dynamic range requirements as needed.</w:t>
      </w:r>
      <w:bookmarkEnd w:id="25"/>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7D5C6B0" w14:textId="072CE412" w:rsidR="00157423"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5053522" w:history="1">
        <w:r w:rsidR="00157423" w:rsidRPr="001C5EA4">
          <w:rPr>
            <w:rStyle w:val="Hyperlink"/>
            <w:noProof/>
            <w:lang w:val="en-GB"/>
          </w:rPr>
          <w:t>Observation 1</w:t>
        </w:r>
        <w:r w:rsidR="00157423">
          <w:rPr>
            <w:rFonts w:asciiTheme="minorHAnsi" w:eastAsiaTheme="minorEastAsia" w:hAnsiTheme="minorHAnsi"/>
            <w:b w:val="0"/>
            <w:noProof/>
            <w:sz w:val="22"/>
            <w:lang w:val="en-SE" w:eastAsia="en-SE"/>
          </w:rPr>
          <w:tab/>
        </w:r>
        <w:r w:rsidR="00157423" w:rsidRPr="001C5EA4">
          <w:rPr>
            <w:rStyle w:val="Hyperlink"/>
            <w:noProof/>
            <w:lang w:val="en-GB"/>
          </w:rPr>
          <w:t>The requirement on OTA sensitivity does not ensure that the BS has no more than XdB degradation compared to its real sensitivity (if it’s real sensitivity is better than the minimum requirement).</w:t>
        </w:r>
      </w:hyperlink>
    </w:p>
    <w:p w14:paraId="2F33F2E1" w14:textId="19BE8FC0"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23" w:history="1">
        <w:r w:rsidRPr="001C5EA4">
          <w:rPr>
            <w:rStyle w:val="Hyperlink"/>
            <w:noProof/>
            <w:lang w:val="en-GB"/>
          </w:rPr>
          <w:t>Observation 2</w:t>
        </w:r>
        <w:r>
          <w:rPr>
            <w:rFonts w:asciiTheme="minorHAnsi" w:eastAsiaTheme="minorEastAsia" w:hAnsiTheme="minorHAnsi"/>
            <w:b w:val="0"/>
            <w:noProof/>
            <w:sz w:val="22"/>
            <w:lang w:val="en-SE" w:eastAsia="en-SE"/>
          </w:rPr>
          <w:tab/>
        </w:r>
        <w:r w:rsidRPr="001C5EA4">
          <w:rPr>
            <w:rStyle w:val="Hyperlink"/>
            <w:noProof/>
            <w:lang w:val="en-GB"/>
          </w:rPr>
          <w:t>Despite observation 1, the requirement can be based on minimum sensitivity for minimum requirements purposes.</w:t>
        </w:r>
      </w:hyperlink>
    </w:p>
    <w:p w14:paraId="76F96A44" w14:textId="3AEE607B"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24" w:history="1">
        <w:r w:rsidRPr="001C5EA4">
          <w:rPr>
            <w:rStyle w:val="Hyperlink"/>
            <w:noProof/>
            <w:lang w:val="en-GB"/>
          </w:rPr>
          <w:t>Observation 3</w:t>
        </w:r>
        <w:r>
          <w:rPr>
            <w:rFonts w:asciiTheme="minorHAnsi" w:eastAsiaTheme="minorEastAsia" w:hAnsiTheme="minorHAnsi"/>
            <w:b w:val="0"/>
            <w:noProof/>
            <w:sz w:val="22"/>
            <w:lang w:val="en-SE" w:eastAsia="en-SE"/>
          </w:rPr>
          <w:tab/>
        </w:r>
        <w:r w:rsidRPr="001C5EA4">
          <w:rPr>
            <w:rStyle w:val="Hyperlink"/>
            <w:noProof/>
            <w:lang w:val="en-GB"/>
          </w:rPr>
          <w:t>The desensitization in SBFD slots depends on all sources of interference. If 1dB degradation is allowed for self-interference only then the degradation during operation will be greater than 1dB.</w:t>
        </w:r>
      </w:hyperlink>
    </w:p>
    <w:p w14:paraId="596EAC4F" w14:textId="7B5CF82D"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25" w:history="1">
        <w:r w:rsidRPr="001C5EA4">
          <w:rPr>
            <w:rStyle w:val="Hyperlink"/>
            <w:noProof/>
            <w:lang w:val="en-GB"/>
          </w:rPr>
          <w:t>Observation 4</w:t>
        </w:r>
        <w:r>
          <w:rPr>
            <w:rFonts w:asciiTheme="minorHAnsi" w:eastAsiaTheme="minorEastAsia" w:hAnsiTheme="minorHAnsi"/>
            <w:b w:val="0"/>
            <w:noProof/>
            <w:sz w:val="22"/>
            <w:lang w:val="en-SE" w:eastAsia="en-SE"/>
          </w:rPr>
          <w:tab/>
        </w:r>
        <w:r w:rsidRPr="001C5EA4">
          <w:rPr>
            <w:rStyle w:val="Hyperlink"/>
            <w:noProof/>
            <w:lang w:val="en-GB"/>
          </w:rPr>
          <w:t>TX sub-band leakage from other sectors or gNBs is not captured in the OTA sensitivity requirement</w:t>
        </w:r>
      </w:hyperlink>
    </w:p>
    <w:p w14:paraId="05D54B6A" w14:textId="6778E6E1"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26" w:history="1">
        <w:r w:rsidRPr="001C5EA4">
          <w:rPr>
            <w:rStyle w:val="Hyperlink"/>
            <w:noProof/>
            <w:lang w:val="en-GB"/>
          </w:rPr>
          <w:t>Observation 5</w:t>
        </w:r>
        <w:r>
          <w:rPr>
            <w:rFonts w:asciiTheme="minorHAnsi" w:eastAsiaTheme="minorEastAsia" w:hAnsiTheme="minorHAnsi"/>
            <w:b w:val="0"/>
            <w:noProof/>
            <w:sz w:val="22"/>
            <w:lang w:val="en-SE" w:eastAsia="en-SE"/>
          </w:rPr>
          <w:tab/>
        </w:r>
        <w:r w:rsidRPr="001C5EA4">
          <w:rPr>
            <w:rStyle w:val="Hyperlink"/>
            <w:noProof/>
            <w:lang w:val="en-GB"/>
          </w:rPr>
          <w:t>Means to mitigate TX sub-band leakage degradation to the RX sub-band cannot be applied for other nodes.</w:t>
        </w:r>
      </w:hyperlink>
    </w:p>
    <w:p w14:paraId="62BAC685" w14:textId="02DA6E11"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27" w:history="1">
        <w:r w:rsidRPr="001C5EA4">
          <w:rPr>
            <w:rStyle w:val="Hyperlink"/>
            <w:noProof/>
            <w:lang w:val="en-GB"/>
          </w:rPr>
          <w:t>Observation 6</w:t>
        </w:r>
        <w:r>
          <w:rPr>
            <w:rFonts w:asciiTheme="minorHAnsi" w:eastAsiaTheme="minorEastAsia" w:hAnsiTheme="minorHAnsi"/>
            <w:b w:val="0"/>
            <w:noProof/>
            <w:sz w:val="22"/>
            <w:lang w:val="en-SE" w:eastAsia="en-SE"/>
          </w:rPr>
          <w:tab/>
        </w:r>
        <w:r w:rsidRPr="001C5EA4">
          <w:rPr>
            <w:rStyle w:val="Hyperlink"/>
            <w:noProof/>
            <w:lang w:val="en-GB"/>
          </w:rPr>
          <w:t>The OTA sensitivity requirement does not capture RX degradation due to TX sub-bands from other nodes.</w:t>
        </w:r>
      </w:hyperlink>
    </w:p>
    <w:p w14:paraId="325ED22E" w14:textId="42C65B9D"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28" w:history="1">
        <w:r w:rsidRPr="001C5EA4">
          <w:rPr>
            <w:rStyle w:val="Hyperlink"/>
            <w:noProof/>
            <w:lang w:val="en-GB"/>
          </w:rPr>
          <w:t>Observation 7</w:t>
        </w:r>
        <w:r>
          <w:rPr>
            <w:rFonts w:asciiTheme="minorHAnsi" w:eastAsiaTheme="minorEastAsia" w:hAnsiTheme="minorHAnsi"/>
            <w:b w:val="0"/>
            <w:noProof/>
            <w:sz w:val="22"/>
            <w:lang w:val="en-SE" w:eastAsia="en-SE"/>
          </w:rPr>
          <w:tab/>
        </w:r>
        <w:r w:rsidRPr="001C5EA4">
          <w:rPr>
            <w:rStyle w:val="Hyperlink"/>
            <w:noProof/>
            <w:lang w:val="en-GB"/>
          </w:rPr>
          <w:t>Measures to mitigate the impact of TX sub-band leakage from the own transmitter may not work for power coming from other nodes.</w:t>
        </w:r>
      </w:hyperlink>
    </w:p>
    <w:p w14:paraId="7AB1FDD5" w14:textId="21E2326E"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29" w:history="1">
        <w:r w:rsidRPr="001C5EA4">
          <w:rPr>
            <w:rStyle w:val="Hyperlink"/>
            <w:noProof/>
            <w:lang w:val="en-GB"/>
          </w:rPr>
          <w:t>Observation 8</w:t>
        </w:r>
        <w:r>
          <w:rPr>
            <w:rFonts w:asciiTheme="minorHAnsi" w:eastAsiaTheme="minorEastAsia" w:hAnsiTheme="minorHAnsi"/>
            <w:b w:val="0"/>
            <w:noProof/>
            <w:sz w:val="22"/>
            <w:lang w:val="en-SE" w:eastAsia="en-SE"/>
          </w:rPr>
          <w:tab/>
        </w:r>
        <w:r w:rsidRPr="001C5EA4">
          <w:rPr>
            <w:rStyle w:val="Hyperlink"/>
            <w:noProof/>
            <w:lang w:val="en-GB"/>
          </w:rPr>
          <w:t>There can still be switching between UL and DL slots for SBFD</w:t>
        </w:r>
      </w:hyperlink>
    </w:p>
    <w:p w14:paraId="1963CD64" w14:textId="311830A7"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0" w:history="1">
        <w:r w:rsidRPr="001C5EA4">
          <w:rPr>
            <w:rStyle w:val="Hyperlink"/>
            <w:noProof/>
            <w:lang w:val="en-GB"/>
          </w:rPr>
          <w:t>Observation 9</w:t>
        </w:r>
        <w:r>
          <w:rPr>
            <w:rFonts w:asciiTheme="minorHAnsi" w:eastAsiaTheme="minorEastAsia" w:hAnsiTheme="minorHAnsi"/>
            <w:b w:val="0"/>
            <w:noProof/>
            <w:sz w:val="22"/>
            <w:lang w:val="en-SE" w:eastAsia="en-SE"/>
          </w:rPr>
          <w:tab/>
        </w:r>
        <w:r w:rsidRPr="001C5EA4">
          <w:rPr>
            <w:rStyle w:val="Hyperlink"/>
            <w:noProof/>
            <w:lang w:val="en-GB"/>
          </w:rPr>
          <w:t>When switching between TX and RX for the UL sub-band, a guard period and requirements on transient times are needed to prevent interference to/from other nodes, same as when all PRB are switched between TX/RX.</w:t>
        </w:r>
      </w:hyperlink>
    </w:p>
    <w:p w14:paraId="24CB364B" w14:textId="4EEC58C2"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1" w:history="1">
        <w:r w:rsidRPr="001C5EA4">
          <w:rPr>
            <w:rStyle w:val="Hyperlink"/>
            <w:noProof/>
            <w:lang w:val="en-GB"/>
          </w:rPr>
          <w:t>Observation 10</w:t>
        </w:r>
        <w:r>
          <w:rPr>
            <w:rFonts w:asciiTheme="minorHAnsi" w:eastAsiaTheme="minorEastAsia" w:hAnsiTheme="minorHAnsi"/>
            <w:b w:val="0"/>
            <w:noProof/>
            <w:sz w:val="22"/>
            <w:lang w:val="en-SE" w:eastAsia="en-SE"/>
          </w:rPr>
          <w:tab/>
        </w:r>
        <w:r w:rsidRPr="001C5EA4">
          <w:rPr>
            <w:rStyle w:val="Hyperlink"/>
            <w:noProof/>
            <w:lang w:val="en-GB"/>
          </w:rPr>
          <w:t>When parts of the array are switched between TX and RX, or from transmitting in sub-bands to the whole carrier, a transient time may be needed until the TX (or RX) is stable in the new configuration.</w:t>
        </w:r>
      </w:hyperlink>
    </w:p>
    <w:p w14:paraId="22EEA13B" w14:textId="520F64A0"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2" w:history="1">
        <w:r w:rsidRPr="001C5EA4">
          <w:rPr>
            <w:rStyle w:val="Hyperlink"/>
            <w:noProof/>
            <w:lang w:val="en-GB"/>
          </w:rPr>
          <w:t>Observation 11</w:t>
        </w:r>
        <w:r>
          <w:rPr>
            <w:rFonts w:asciiTheme="minorHAnsi" w:eastAsiaTheme="minorEastAsia" w:hAnsiTheme="minorHAnsi"/>
            <w:b w:val="0"/>
            <w:noProof/>
            <w:sz w:val="22"/>
            <w:lang w:val="en-SE" w:eastAsia="en-SE"/>
          </w:rPr>
          <w:tab/>
        </w:r>
        <w:r w:rsidRPr="001C5EA4">
          <w:rPr>
            <w:rStyle w:val="Hyperlink"/>
            <w:noProof/>
            <w:lang w:val="en-GB"/>
          </w:rPr>
          <w:t>The transmitter should be built to be robust to reverse intermodulation</w:t>
        </w:r>
      </w:hyperlink>
    </w:p>
    <w:p w14:paraId="37AC20F0" w14:textId="59CD525C"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3" w:history="1">
        <w:r w:rsidRPr="001C5EA4">
          <w:rPr>
            <w:rStyle w:val="Hyperlink"/>
            <w:noProof/>
            <w:lang w:val="en-GB"/>
          </w:rPr>
          <w:t>Observation 12</w:t>
        </w:r>
        <w:r>
          <w:rPr>
            <w:rFonts w:asciiTheme="minorHAnsi" w:eastAsiaTheme="minorEastAsia" w:hAnsiTheme="minorHAnsi"/>
            <w:b w:val="0"/>
            <w:noProof/>
            <w:sz w:val="22"/>
            <w:lang w:val="en-SE" w:eastAsia="en-SE"/>
          </w:rPr>
          <w:tab/>
        </w:r>
        <w:r w:rsidRPr="001C5EA4">
          <w:rPr>
            <w:rStyle w:val="Hyperlink"/>
            <w:noProof/>
            <w:lang w:val="en-GB"/>
          </w:rPr>
          <w:t>Meeting RX intermodulation in regular DL slots may be sufficient.</w:t>
        </w:r>
      </w:hyperlink>
    </w:p>
    <w:p w14:paraId="61785C1F" w14:textId="31FF839C"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4" w:history="1">
        <w:r w:rsidRPr="001C5EA4">
          <w:rPr>
            <w:rStyle w:val="Hyperlink"/>
            <w:noProof/>
            <w:lang w:val="en-GB"/>
          </w:rPr>
          <w:t>Observation 13</w:t>
        </w:r>
        <w:r>
          <w:rPr>
            <w:rFonts w:asciiTheme="minorHAnsi" w:eastAsiaTheme="minorEastAsia" w:hAnsiTheme="minorHAnsi"/>
            <w:b w:val="0"/>
            <w:noProof/>
            <w:sz w:val="22"/>
            <w:lang w:val="en-SE" w:eastAsia="en-SE"/>
          </w:rPr>
          <w:tab/>
        </w:r>
        <w:r w:rsidRPr="001C5EA4">
          <w:rPr>
            <w:rStyle w:val="Hyperlink"/>
            <w:noProof/>
            <w:lang w:val="en-GB"/>
          </w:rPr>
          <w:t>In case TX intermodulation is tested during SBFD slots, this relates to exceptional conditions and there should be no requirement on the RX sub-band in such conditions.</w:t>
        </w:r>
      </w:hyperlink>
    </w:p>
    <w:p w14:paraId="6172EF4C" w14:textId="79F5635D"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5" w:history="1">
        <w:r w:rsidRPr="001C5EA4">
          <w:rPr>
            <w:rStyle w:val="Hyperlink"/>
            <w:noProof/>
            <w:lang w:val="en-GB"/>
          </w:rPr>
          <w:t>Observation 14</w:t>
        </w:r>
        <w:r>
          <w:rPr>
            <w:rFonts w:asciiTheme="minorHAnsi" w:eastAsiaTheme="minorEastAsia" w:hAnsiTheme="minorHAnsi"/>
            <w:b w:val="0"/>
            <w:noProof/>
            <w:sz w:val="22"/>
            <w:lang w:val="en-SE" w:eastAsia="en-SE"/>
          </w:rPr>
          <w:tab/>
        </w:r>
        <w:r w:rsidRPr="001C5EA4">
          <w:rPr>
            <w:rStyle w:val="Hyperlink"/>
            <w:noProof/>
            <w:lang w:val="en-GB"/>
          </w:rPr>
          <w:t>Co-location requirements are standardized so that operators can deploy BS in different bands with confidence that proprietary solutions are not needed.</w:t>
        </w:r>
      </w:hyperlink>
    </w:p>
    <w:p w14:paraId="11530EE1" w14:textId="39B9265E"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6" w:history="1">
        <w:r w:rsidRPr="001C5EA4">
          <w:rPr>
            <w:rStyle w:val="Hyperlink"/>
            <w:noProof/>
            <w:lang w:val="en-GB"/>
          </w:rPr>
          <w:t>Observation 15</w:t>
        </w:r>
        <w:r>
          <w:rPr>
            <w:rFonts w:asciiTheme="minorHAnsi" w:eastAsiaTheme="minorEastAsia" w:hAnsiTheme="minorHAnsi"/>
            <w:b w:val="0"/>
            <w:noProof/>
            <w:sz w:val="22"/>
            <w:lang w:val="en-SE" w:eastAsia="en-SE"/>
          </w:rPr>
          <w:tab/>
        </w:r>
        <w:r w:rsidRPr="001C5EA4">
          <w:rPr>
            <w:rStyle w:val="Hyperlink"/>
            <w:noProof/>
            <w:lang w:val="en-GB"/>
          </w:rPr>
          <w:t>Co-existence between bands requirements are standardized to ensure that deployments in different bands at different sites will not interfere to one another.</w:t>
        </w:r>
      </w:hyperlink>
    </w:p>
    <w:p w14:paraId="3A6E802A" w14:textId="50FC436B"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7" w:history="1">
        <w:r w:rsidRPr="001C5EA4">
          <w:rPr>
            <w:rStyle w:val="Hyperlink"/>
            <w:noProof/>
            <w:lang w:val="en-GB"/>
          </w:rPr>
          <w:t>Observation 16</w:t>
        </w:r>
        <w:r>
          <w:rPr>
            <w:rFonts w:asciiTheme="minorHAnsi" w:eastAsiaTheme="minorEastAsia" w:hAnsiTheme="minorHAnsi"/>
            <w:b w:val="0"/>
            <w:noProof/>
            <w:sz w:val="22"/>
            <w:lang w:val="en-SE" w:eastAsia="en-SE"/>
          </w:rPr>
          <w:tab/>
        </w:r>
        <w:r w:rsidRPr="001C5EA4">
          <w:rPr>
            <w:rStyle w:val="Hyperlink"/>
            <w:noProof/>
            <w:lang w:val="en-GB"/>
          </w:rPr>
          <w:t>Co-location and co-existence between bands requirements are optional and support is declared.</w:t>
        </w:r>
      </w:hyperlink>
    </w:p>
    <w:p w14:paraId="3C37AE77" w14:textId="0ED96B5F"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8" w:history="1">
        <w:r w:rsidRPr="001C5EA4">
          <w:rPr>
            <w:rStyle w:val="Hyperlink"/>
            <w:noProof/>
            <w:lang w:val="en-GB"/>
          </w:rPr>
          <w:t>Observation 17</w:t>
        </w:r>
        <w:r>
          <w:rPr>
            <w:rFonts w:asciiTheme="minorHAnsi" w:eastAsiaTheme="minorEastAsia" w:hAnsiTheme="minorHAnsi"/>
            <w:b w:val="0"/>
            <w:noProof/>
            <w:sz w:val="22"/>
            <w:lang w:val="en-SE" w:eastAsia="en-SE"/>
          </w:rPr>
          <w:tab/>
        </w:r>
        <w:r w:rsidRPr="001C5EA4">
          <w:rPr>
            <w:rStyle w:val="Hyperlink"/>
            <w:noProof/>
            <w:lang w:val="en-GB"/>
          </w:rPr>
          <w:t>Regardless of SBFD or non-SBFD, co-location requirements between bands do not assume synchronization between TDD patterns and are met by means of a band-wide analogue filter.</w:t>
        </w:r>
      </w:hyperlink>
    </w:p>
    <w:p w14:paraId="3F2CD197" w14:textId="740FDE41"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39" w:history="1">
        <w:r w:rsidRPr="001C5EA4">
          <w:rPr>
            <w:rStyle w:val="Hyperlink"/>
            <w:noProof/>
            <w:lang w:val="en-GB"/>
          </w:rPr>
          <w:t>Observation 18</w:t>
        </w:r>
        <w:r>
          <w:rPr>
            <w:rFonts w:asciiTheme="minorHAnsi" w:eastAsiaTheme="minorEastAsia" w:hAnsiTheme="minorHAnsi"/>
            <w:b w:val="0"/>
            <w:noProof/>
            <w:sz w:val="22"/>
            <w:lang w:val="en-SE" w:eastAsia="en-SE"/>
          </w:rPr>
          <w:tab/>
        </w:r>
        <w:r w:rsidRPr="001C5EA4">
          <w:rPr>
            <w:rStyle w:val="Hyperlink"/>
            <w:noProof/>
            <w:lang w:val="en-GB"/>
          </w:rPr>
          <w:t>It does not make sense to standardize relaxed co-location/co-existence requirements, since meeting them would not mean that proprietary solutions would not be needed.</w:t>
        </w:r>
      </w:hyperlink>
    </w:p>
    <w:p w14:paraId="5F69EC0F" w14:textId="357156D6"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0F401D2E" w14:textId="690E4CEE" w:rsidR="00157423"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5053540" w:history="1">
        <w:r w:rsidR="00157423" w:rsidRPr="007261C7">
          <w:rPr>
            <w:rStyle w:val="Hyperlink"/>
            <w:noProof/>
            <w:lang w:val="en-GB"/>
          </w:rPr>
          <w:t>Proposal 1</w:t>
        </w:r>
        <w:r w:rsidR="00157423">
          <w:rPr>
            <w:rFonts w:asciiTheme="minorHAnsi" w:eastAsiaTheme="minorEastAsia" w:hAnsiTheme="minorHAnsi"/>
            <w:b w:val="0"/>
            <w:noProof/>
            <w:sz w:val="22"/>
            <w:lang w:val="en-SE" w:eastAsia="en-SE"/>
          </w:rPr>
          <w:tab/>
        </w:r>
        <w:r w:rsidR="00157423" w:rsidRPr="007261C7">
          <w:rPr>
            <w:rStyle w:val="Hyperlink"/>
            <w:noProof/>
            <w:lang w:val="en-GB"/>
          </w:rPr>
          <w:t>RAN4 discuss a reasonable degradation for self-interference only, considering an reasonable headroom for degradations from other interference sources.</w:t>
        </w:r>
      </w:hyperlink>
    </w:p>
    <w:p w14:paraId="29AC1799" w14:textId="70DC16A8"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41" w:history="1">
        <w:r w:rsidRPr="007261C7">
          <w:rPr>
            <w:rStyle w:val="Hyperlink"/>
            <w:noProof/>
            <w:lang w:val="en-GB"/>
          </w:rPr>
          <w:t>Proposal 2</w:t>
        </w:r>
        <w:r>
          <w:rPr>
            <w:rFonts w:asciiTheme="minorHAnsi" w:eastAsiaTheme="minorEastAsia" w:hAnsiTheme="minorHAnsi"/>
            <w:b w:val="0"/>
            <w:noProof/>
            <w:sz w:val="22"/>
            <w:lang w:val="en-SE" w:eastAsia="en-SE"/>
          </w:rPr>
          <w:tab/>
        </w:r>
        <w:r w:rsidRPr="007261C7">
          <w:rPr>
            <w:rStyle w:val="Hyperlink"/>
            <w:noProof/>
            <w:lang w:val="en-GB"/>
          </w:rPr>
          <w:t>Define the OTA sensitivity requirement over the EIRP accuracy directions range and OTA sensitivity RoAoA. Conformance testing should be in some EIRP testing directions and some OTA sensitivity RoAoA test directions.</w:t>
        </w:r>
      </w:hyperlink>
    </w:p>
    <w:p w14:paraId="4A1210AA" w14:textId="21749F2C"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42" w:history="1">
        <w:r w:rsidRPr="007261C7">
          <w:rPr>
            <w:rStyle w:val="Hyperlink"/>
            <w:noProof/>
            <w:lang w:val="en-GB"/>
          </w:rPr>
          <w:t>Proposal 3</w:t>
        </w:r>
        <w:r>
          <w:rPr>
            <w:rFonts w:asciiTheme="minorHAnsi" w:eastAsiaTheme="minorEastAsia" w:hAnsiTheme="minorHAnsi"/>
            <w:b w:val="0"/>
            <w:noProof/>
            <w:sz w:val="22"/>
            <w:lang w:val="en-SE" w:eastAsia="en-SE"/>
          </w:rPr>
          <w:tab/>
        </w:r>
        <w:r w:rsidRPr="007261C7">
          <w:rPr>
            <w:rStyle w:val="Hyperlink"/>
            <w:noProof/>
            <w:lang w:val="en-GB"/>
          </w:rPr>
          <w:t>Consider ACLR (scaled according to bandwidths) as a baseline for a TX sub-band leakage requirement.</w:t>
        </w:r>
      </w:hyperlink>
    </w:p>
    <w:p w14:paraId="3216198F" w14:textId="506F916C"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43" w:history="1">
        <w:r w:rsidRPr="007261C7">
          <w:rPr>
            <w:rStyle w:val="Hyperlink"/>
            <w:noProof/>
            <w:lang w:val="en-GB"/>
          </w:rPr>
          <w:t>Proposal 4</w:t>
        </w:r>
        <w:r>
          <w:rPr>
            <w:rFonts w:asciiTheme="minorHAnsi" w:eastAsiaTheme="minorEastAsia" w:hAnsiTheme="minorHAnsi"/>
            <w:b w:val="0"/>
            <w:noProof/>
            <w:sz w:val="22"/>
            <w:lang w:val="en-SE" w:eastAsia="en-SE"/>
          </w:rPr>
          <w:tab/>
        </w:r>
        <w:r w:rsidRPr="007261C7">
          <w:rPr>
            <w:rStyle w:val="Hyperlink"/>
            <w:noProof/>
            <w:lang w:val="en-GB"/>
          </w:rPr>
          <w:t>Consider ACS as a baseline for an RX sub-band selectivity requirement.</w:t>
        </w:r>
      </w:hyperlink>
    </w:p>
    <w:p w14:paraId="14DF4796" w14:textId="79809E18"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44" w:history="1">
        <w:r w:rsidRPr="007261C7">
          <w:rPr>
            <w:rStyle w:val="Hyperlink"/>
            <w:noProof/>
            <w:lang w:val="en-GB"/>
          </w:rPr>
          <w:t>Proposal 5</w:t>
        </w:r>
        <w:r>
          <w:rPr>
            <w:rFonts w:asciiTheme="minorHAnsi" w:eastAsiaTheme="minorEastAsia" w:hAnsiTheme="minorHAnsi"/>
            <w:b w:val="0"/>
            <w:noProof/>
            <w:sz w:val="22"/>
            <w:lang w:val="en-SE" w:eastAsia="en-SE"/>
          </w:rPr>
          <w:tab/>
        </w:r>
        <w:r w:rsidRPr="007261C7">
          <w:rPr>
            <w:rStyle w:val="Hyperlink"/>
            <w:noProof/>
            <w:lang w:val="en-GB"/>
          </w:rPr>
          <w:t>For TX switching, consider transient times for RX sub-band switching and also for switching parts of the array.</w:t>
        </w:r>
      </w:hyperlink>
    </w:p>
    <w:p w14:paraId="54CA07A7" w14:textId="2510028C"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45" w:history="1">
        <w:r w:rsidRPr="007261C7">
          <w:rPr>
            <w:rStyle w:val="Hyperlink"/>
            <w:noProof/>
            <w:lang w:val="en-GB"/>
          </w:rPr>
          <w:t>Proposal 6</w:t>
        </w:r>
        <w:r>
          <w:rPr>
            <w:rFonts w:asciiTheme="minorHAnsi" w:eastAsiaTheme="minorEastAsia" w:hAnsiTheme="minorHAnsi"/>
            <w:b w:val="0"/>
            <w:noProof/>
            <w:sz w:val="22"/>
            <w:lang w:val="en-SE" w:eastAsia="en-SE"/>
          </w:rPr>
          <w:tab/>
        </w:r>
        <w:r w:rsidRPr="007261C7">
          <w:rPr>
            <w:rStyle w:val="Hyperlink"/>
            <w:noProof/>
            <w:lang w:val="en-GB"/>
          </w:rPr>
          <w:t>Maintain co-location and co-existence between bands requirements that are optional for SBFD BS.</w:t>
        </w:r>
      </w:hyperlink>
    </w:p>
    <w:p w14:paraId="65947A6A" w14:textId="626E77CC" w:rsidR="00157423" w:rsidRDefault="00157423">
      <w:pPr>
        <w:pStyle w:val="TableofFigures"/>
        <w:tabs>
          <w:tab w:val="right" w:leader="dot" w:pos="9629"/>
        </w:tabs>
        <w:rPr>
          <w:rFonts w:asciiTheme="minorHAnsi" w:eastAsiaTheme="minorEastAsia" w:hAnsiTheme="minorHAnsi"/>
          <w:b w:val="0"/>
          <w:noProof/>
          <w:sz w:val="22"/>
          <w:lang w:val="en-SE" w:eastAsia="en-SE"/>
        </w:rPr>
      </w:pPr>
      <w:hyperlink w:anchor="_Toc135053546" w:history="1">
        <w:r w:rsidRPr="007261C7">
          <w:rPr>
            <w:rStyle w:val="Hyperlink"/>
            <w:noProof/>
            <w:lang w:val="en-GB"/>
          </w:rPr>
          <w:t>Proposal 7</w:t>
        </w:r>
        <w:r>
          <w:rPr>
            <w:rFonts w:asciiTheme="minorHAnsi" w:eastAsiaTheme="minorEastAsia" w:hAnsiTheme="minorHAnsi"/>
            <w:b w:val="0"/>
            <w:noProof/>
            <w:sz w:val="22"/>
            <w:lang w:val="en-SE" w:eastAsia="en-SE"/>
          </w:rPr>
          <w:tab/>
        </w:r>
        <w:r w:rsidRPr="007261C7">
          <w:rPr>
            <w:rStyle w:val="Hyperlink"/>
            <w:noProof/>
            <w:lang w:val="en-GB"/>
          </w:rPr>
          <w:t>Adjust UL dynamic range requirements as needed.</w:t>
        </w:r>
      </w:hyperlink>
    </w:p>
    <w:p w14:paraId="7E6E87CC" w14:textId="0C29322B" w:rsidR="005F3025" w:rsidRPr="00CE0424" w:rsidRDefault="006E1C82" w:rsidP="00157423">
      <w:pPr>
        <w:pStyle w:val="BodyText"/>
      </w:pPr>
      <w:r>
        <w:rPr>
          <w:b/>
          <w:bCs/>
        </w:rPr>
        <w:fldChar w:fldCharType="end"/>
      </w:r>
      <w:r w:rsidRPr="00CE0424">
        <w:rPr>
          <w:b/>
          <w:bCs/>
        </w:rPr>
        <w:t xml:space="preserve"> </w:t>
      </w:r>
      <w:bookmarkStart w:id="26" w:name="_Ref174151459"/>
      <w:bookmarkStart w:id="27" w:name="_Ref189809556"/>
    </w:p>
    <w:bookmarkEnd w:id="26"/>
    <w:bookmarkEnd w:id="27"/>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452D1" w14:textId="77777777" w:rsidR="0032536B" w:rsidRDefault="0032536B">
      <w:r>
        <w:separator/>
      </w:r>
    </w:p>
  </w:endnote>
  <w:endnote w:type="continuationSeparator" w:id="0">
    <w:p w14:paraId="4F2FE533" w14:textId="77777777" w:rsidR="0032536B" w:rsidRDefault="0032536B">
      <w:r>
        <w:continuationSeparator/>
      </w:r>
    </w:p>
  </w:endnote>
  <w:endnote w:type="continuationNotice" w:id="1">
    <w:p w14:paraId="6292DC4C" w14:textId="77777777" w:rsidR="0032536B" w:rsidRDefault="003253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7070D" w14:textId="77777777" w:rsidR="0032536B" w:rsidRDefault="0032536B">
      <w:r>
        <w:separator/>
      </w:r>
    </w:p>
  </w:footnote>
  <w:footnote w:type="continuationSeparator" w:id="0">
    <w:p w14:paraId="38140FA8" w14:textId="77777777" w:rsidR="0032536B" w:rsidRDefault="0032536B">
      <w:r>
        <w:continuationSeparator/>
      </w:r>
    </w:p>
  </w:footnote>
  <w:footnote w:type="continuationNotice" w:id="1">
    <w:p w14:paraId="257B88C3" w14:textId="77777777" w:rsidR="0032536B" w:rsidRDefault="003253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5"/>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8"/>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6"/>
  </w:num>
  <w:num w:numId="14" w16cid:durableId="826438824">
    <w:abstractNumId w:val="17"/>
  </w:num>
  <w:num w:numId="15" w16cid:durableId="689725159">
    <w:abstractNumId w:val="13"/>
  </w:num>
  <w:num w:numId="16" w16cid:durableId="10954744">
    <w:abstractNumId w:val="19"/>
  </w:num>
  <w:num w:numId="17" w16cid:durableId="183830960">
    <w:abstractNumId w:val="5"/>
  </w:num>
  <w:num w:numId="18" w16cid:durableId="1606114056">
    <w:abstractNumId w:val="6"/>
  </w:num>
  <w:num w:numId="19" w16cid:durableId="2129543684">
    <w:abstractNumId w:val="4"/>
  </w:num>
  <w:num w:numId="20" w16cid:durableId="1458717335">
    <w:abstractNumId w:val="21"/>
  </w:num>
  <w:num w:numId="21" w16cid:durableId="1670518138">
    <w:abstractNumId w:val="10"/>
  </w:num>
  <w:num w:numId="22" w16cid:durableId="35037904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07D56"/>
    <w:rsid w:val="00011B28"/>
    <w:rsid w:val="00015D15"/>
    <w:rsid w:val="000211D7"/>
    <w:rsid w:val="000233AE"/>
    <w:rsid w:val="0002564D"/>
    <w:rsid w:val="00025ECA"/>
    <w:rsid w:val="000325B8"/>
    <w:rsid w:val="00034C15"/>
    <w:rsid w:val="00036BA1"/>
    <w:rsid w:val="000422E2"/>
    <w:rsid w:val="000423B6"/>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E81"/>
    <w:rsid w:val="0009510F"/>
    <w:rsid w:val="000A1B7B"/>
    <w:rsid w:val="000A4857"/>
    <w:rsid w:val="000A56F2"/>
    <w:rsid w:val="000B032F"/>
    <w:rsid w:val="000B2719"/>
    <w:rsid w:val="000B3A8F"/>
    <w:rsid w:val="000B4AB9"/>
    <w:rsid w:val="000B58C3"/>
    <w:rsid w:val="000B61E9"/>
    <w:rsid w:val="000C165A"/>
    <w:rsid w:val="000C1827"/>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EF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31B"/>
    <w:rsid w:val="00157423"/>
    <w:rsid w:val="001659C1"/>
    <w:rsid w:val="00173A8E"/>
    <w:rsid w:val="0017502C"/>
    <w:rsid w:val="0018143F"/>
    <w:rsid w:val="00181FF8"/>
    <w:rsid w:val="00185405"/>
    <w:rsid w:val="00190AC1"/>
    <w:rsid w:val="0019341A"/>
    <w:rsid w:val="00197DF9"/>
    <w:rsid w:val="001A1987"/>
    <w:rsid w:val="001A2564"/>
    <w:rsid w:val="001A6173"/>
    <w:rsid w:val="001A65C7"/>
    <w:rsid w:val="001A6A1F"/>
    <w:rsid w:val="001A6CBA"/>
    <w:rsid w:val="001B0D97"/>
    <w:rsid w:val="001B5A5D"/>
    <w:rsid w:val="001C1CE5"/>
    <w:rsid w:val="001C3089"/>
    <w:rsid w:val="001C3D2A"/>
    <w:rsid w:val="001C42D8"/>
    <w:rsid w:val="001D51BA"/>
    <w:rsid w:val="001D53E7"/>
    <w:rsid w:val="001D6342"/>
    <w:rsid w:val="001D6D53"/>
    <w:rsid w:val="001E3EF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638"/>
    <w:rsid w:val="00220600"/>
    <w:rsid w:val="002224DB"/>
    <w:rsid w:val="00223FCB"/>
    <w:rsid w:val="002252C3"/>
    <w:rsid w:val="00225C54"/>
    <w:rsid w:val="00230765"/>
    <w:rsid w:val="00230D18"/>
    <w:rsid w:val="002319E4"/>
    <w:rsid w:val="00235632"/>
    <w:rsid w:val="00235872"/>
    <w:rsid w:val="00241559"/>
    <w:rsid w:val="002435B3"/>
    <w:rsid w:val="002458EB"/>
    <w:rsid w:val="002471FE"/>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910"/>
    <w:rsid w:val="00322C9F"/>
    <w:rsid w:val="00324D23"/>
    <w:rsid w:val="0032536B"/>
    <w:rsid w:val="00331751"/>
    <w:rsid w:val="00334579"/>
    <w:rsid w:val="00335858"/>
    <w:rsid w:val="00336BDA"/>
    <w:rsid w:val="00342BD7"/>
    <w:rsid w:val="003438B6"/>
    <w:rsid w:val="00346DB5"/>
    <w:rsid w:val="003477B1"/>
    <w:rsid w:val="00357380"/>
    <w:rsid w:val="003602D9"/>
    <w:rsid w:val="003604CE"/>
    <w:rsid w:val="00362C7D"/>
    <w:rsid w:val="00370E47"/>
    <w:rsid w:val="003742AC"/>
    <w:rsid w:val="00377CE1"/>
    <w:rsid w:val="00385BF0"/>
    <w:rsid w:val="003939FF"/>
    <w:rsid w:val="00393CA9"/>
    <w:rsid w:val="003A2223"/>
    <w:rsid w:val="003A2A0F"/>
    <w:rsid w:val="003A45A1"/>
    <w:rsid w:val="003A5B0A"/>
    <w:rsid w:val="003A6BAC"/>
    <w:rsid w:val="003A70A4"/>
    <w:rsid w:val="003A7EF3"/>
    <w:rsid w:val="003B159C"/>
    <w:rsid w:val="003B369F"/>
    <w:rsid w:val="003B36A3"/>
    <w:rsid w:val="003B5D9F"/>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C08"/>
    <w:rsid w:val="004242F4"/>
    <w:rsid w:val="00427248"/>
    <w:rsid w:val="00434276"/>
    <w:rsid w:val="00437447"/>
    <w:rsid w:val="00441A92"/>
    <w:rsid w:val="004431DC"/>
    <w:rsid w:val="00444F56"/>
    <w:rsid w:val="00446488"/>
    <w:rsid w:val="004517AA"/>
    <w:rsid w:val="00452CAC"/>
    <w:rsid w:val="00457565"/>
    <w:rsid w:val="00457B71"/>
    <w:rsid w:val="00463898"/>
    <w:rsid w:val="00464689"/>
    <w:rsid w:val="004669E2"/>
    <w:rsid w:val="00470C31"/>
    <w:rsid w:val="00471DE0"/>
    <w:rsid w:val="004734D0"/>
    <w:rsid w:val="0047556B"/>
    <w:rsid w:val="00477768"/>
    <w:rsid w:val="00492BC5"/>
    <w:rsid w:val="004964F1"/>
    <w:rsid w:val="004A16BC"/>
    <w:rsid w:val="004A2B94"/>
    <w:rsid w:val="004B6F6A"/>
    <w:rsid w:val="004B7C0C"/>
    <w:rsid w:val="004C33FA"/>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915"/>
    <w:rsid w:val="0053022F"/>
    <w:rsid w:val="00534B59"/>
    <w:rsid w:val="00536759"/>
    <w:rsid w:val="00537C62"/>
    <w:rsid w:val="00546970"/>
    <w:rsid w:val="00554E19"/>
    <w:rsid w:val="0056121F"/>
    <w:rsid w:val="00562251"/>
    <w:rsid w:val="00572505"/>
    <w:rsid w:val="00582809"/>
    <w:rsid w:val="0058798C"/>
    <w:rsid w:val="005900FA"/>
    <w:rsid w:val="005935A4"/>
    <w:rsid w:val="00593F00"/>
    <w:rsid w:val="005948C2"/>
    <w:rsid w:val="00595DCA"/>
    <w:rsid w:val="0059779B"/>
    <w:rsid w:val="005A105E"/>
    <w:rsid w:val="005A209A"/>
    <w:rsid w:val="005A662D"/>
    <w:rsid w:val="005B1409"/>
    <w:rsid w:val="005B181C"/>
    <w:rsid w:val="005B35D7"/>
    <w:rsid w:val="005B392A"/>
    <w:rsid w:val="005B3AA3"/>
    <w:rsid w:val="005B5F2F"/>
    <w:rsid w:val="005B6F83"/>
    <w:rsid w:val="005C74FB"/>
    <w:rsid w:val="005D07B0"/>
    <w:rsid w:val="005D1602"/>
    <w:rsid w:val="005E385F"/>
    <w:rsid w:val="005E4172"/>
    <w:rsid w:val="005E5B81"/>
    <w:rsid w:val="005F1BB9"/>
    <w:rsid w:val="005F2CB1"/>
    <w:rsid w:val="005F3025"/>
    <w:rsid w:val="005F618C"/>
    <w:rsid w:val="005F70BD"/>
    <w:rsid w:val="0060283C"/>
    <w:rsid w:val="00604F14"/>
    <w:rsid w:val="00611B83"/>
    <w:rsid w:val="00613257"/>
    <w:rsid w:val="00620A71"/>
    <w:rsid w:val="00620D80"/>
    <w:rsid w:val="006234A6"/>
    <w:rsid w:val="00630001"/>
    <w:rsid w:val="00630E56"/>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59F"/>
    <w:rsid w:val="00693F1D"/>
    <w:rsid w:val="00695FC2"/>
    <w:rsid w:val="00696949"/>
    <w:rsid w:val="00697052"/>
    <w:rsid w:val="006A46FB"/>
    <w:rsid w:val="006A5E28"/>
    <w:rsid w:val="006A697B"/>
    <w:rsid w:val="006A7AFF"/>
    <w:rsid w:val="006B1816"/>
    <w:rsid w:val="006B2099"/>
    <w:rsid w:val="006B4CAF"/>
    <w:rsid w:val="006B50CF"/>
    <w:rsid w:val="006C03B8"/>
    <w:rsid w:val="006C5EC9"/>
    <w:rsid w:val="006C6059"/>
    <w:rsid w:val="006C7522"/>
    <w:rsid w:val="006D160E"/>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4DA5"/>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0DB"/>
    <w:rsid w:val="007604B2"/>
    <w:rsid w:val="0076459E"/>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4EA6"/>
    <w:rsid w:val="007A58A6"/>
    <w:rsid w:val="007B23C8"/>
    <w:rsid w:val="007B3D2D"/>
    <w:rsid w:val="007B50AE"/>
    <w:rsid w:val="007B51DF"/>
    <w:rsid w:val="007C05DD"/>
    <w:rsid w:val="007C3D18"/>
    <w:rsid w:val="007C5F1E"/>
    <w:rsid w:val="007C60BF"/>
    <w:rsid w:val="007C6A07"/>
    <w:rsid w:val="007C75A1"/>
    <w:rsid w:val="007C77A5"/>
    <w:rsid w:val="007D04E5"/>
    <w:rsid w:val="007D5901"/>
    <w:rsid w:val="007D7526"/>
    <w:rsid w:val="007E4610"/>
    <w:rsid w:val="007E4715"/>
    <w:rsid w:val="007E505B"/>
    <w:rsid w:val="007E7091"/>
    <w:rsid w:val="007F2A4E"/>
    <w:rsid w:val="007F7A7F"/>
    <w:rsid w:val="00803FAE"/>
    <w:rsid w:val="0080605F"/>
    <w:rsid w:val="00807786"/>
    <w:rsid w:val="00811FCB"/>
    <w:rsid w:val="00815056"/>
    <w:rsid w:val="008158D6"/>
    <w:rsid w:val="00817196"/>
    <w:rsid w:val="008235DB"/>
    <w:rsid w:val="00824AB4"/>
    <w:rsid w:val="00825C42"/>
    <w:rsid w:val="00825D25"/>
    <w:rsid w:val="00827D6F"/>
    <w:rsid w:val="008364E9"/>
    <w:rsid w:val="008376AC"/>
    <w:rsid w:val="008444E8"/>
    <w:rsid w:val="00844E80"/>
    <w:rsid w:val="00846FE7"/>
    <w:rsid w:val="00856911"/>
    <w:rsid w:val="008637DC"/>
    <w:rsid w:val="008677FD"/>
    <w:rsid w:val="008706D4"/>
    <w:rsid w:val="00870F8A"/>
    <w:rsid w:val="008719A4"/>
    <w:rsid w:val="00871D23"/>
    <w:rsid w:val="00874312"/>
    <w:rsid w:val="0087437C"/>
    <w:rsid w:val="00875CD7"/>
    <w:rsid w:val="00876B4D"/>
    <w:rsid w:val="00877F18"/>
    <w:rsid w:val="0088080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FDB"/>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3CD"/>
    <w:rsid w:val="008F1C4E"/>
    <w:rsid w:val="008F1EAB"/>
    <w:rsid w:val="008F33DC"/>
    <w:rsid w:val="008F477F"/>
    <w:rsid w:val="00902350"/>
    <w:rsid w:val="0090336B"/>
    <w:rsid w:val="009053AA"/>
    <w:rsid w:val="00906939"/>
    <w:rsid w:val="009078B3"/>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2AC1"/>
    <w:rsid w:val="00953920"/>
    <w:rsid w:val="00953D47"/>
    <w:rsid w:val="0095681E"/>
    <w:rsid w:val="009572D4"/>
    <w:rsid w:val="00961779"/>
    <w:rsid w:val="00961921"/>
    <w:rsid w:val="00961B5A"/>
    <w:rsid w:val="0096430A"/>
    <w:rsid w:val="00964B83"/>
    <w:rsid w:val="0096554B"/>
    <w:rsid w:val="0096584A"/>
    <w:rsid w:val="00967441"/>
    <w:rsid w:val="00971F08"/>
    <w:rsid w:val="0097603D"/>
    <w:rsid w:val="00976949"/>
    <w:rsid w:val="00980477"/>
    <w:rsid w:val="00985253"/>
    <w:rsid w:val="009853B3"/>
    <w:rsid w:val="00990630"/>
    <w:rsid w:val="00991761"/>
    <w:rsid w:val="00992353"/>
    <w:rsid w:val="00994DCA"/>
    <w:rsid w:val="009960EC"/>
    <w:rsid w:val="009970DD"/>
    <w:rsid w:val="009A05DF"/>
    <w:rsid w:val="009A0FBA"/>
    <w:rsid w:val="009A1601"/>
    <w:rsid w:val="009A3BB6"/>
    <w:rsid w:val="009A462D"/>
    <w:rsid w:val="009A5CBA"/>
    <w:rsid w:val="009A6586"/>
    <w:rsid w:val="009B1F30"/>
    <w:rsid w:val="009B3AC2"/>
    <w:rsid w:val="009B4DF4"/>
    <w:rsid w:val="009B564E"/>
    <w:rsid w:val="009B6629"/>
    <w:rsid w:val="009B7E87"/>
    <w:rsid w:val="009C0169"/>
    <w:rsid w:val="009C403E"/>
    <w:rsid w:val="009D43B5"/>
    <w:rsid w:val="009D4FF0"/>
    <w:rsid w:val="009D703C"/>
    <w:rsid w:val="009D718F"/>
    <w:rsid w:val="009E068F"/>
    <w:rsid w:val="009E14E0"/>
    <w:rsid w:val="009E35DB"/>
    <w:rsid w:val="009E47A3"/>
    <w:rsid w:val="009F08F3"/>
    <w:rsid w:val="009F2485"/>
    <w:rsid w:val="009F344F"/>
    <w:rsid w:val="00A031D8"/>
    <w:rsid w:val="00A048A8"/>
    <w:rsid w:val="00A04F49"/>
    <w:rsid w:val="00A13E54"/>
    <w:rsid w:val="00A17F63"/>
    <w:rsid w:val="00A2193B"/>
    <w:rsid w:val="00A224D0"/>
    <w:rsid w:val="00A2351A"/>
    <w:rsid w:val="00A264A9"/>
    <w:rsid w:val="00A26DCF"/>
    <w:rsid w:val="00A27785"/>
    <w:rsid w:val="00A30187"/>
    <w:rsid w:val="00A3448A"/>
    <w:rsid w:val="00A36297"/>
    <w:rsid w:val="00A41E2B"/>
    <w:rsid w:val="00A45B74"/>
    <w:rsid w:val="00A52E1D"/>
    <w:rsid w:val="00A5586E"/>
    <w:rsid w:val="00A61499"/>
    <w:rsid w:val="00A61788"/>
    <w:rsid w:val="00A62A77"/>
    <w:rsid w:val="00A63483"/>
    <w:rsid w:val="00A657D7"/>
    <w:rsid w:val="00A660AC"/>
    <w:rsid w:val="00A67E6C"/>
    <w:rsid w:val="00A709D3"/>
    <w:rsid w:val="00A71B99"/>
    <w:rsid w:val="00A739D0"/>
    <w:rsid w:val="00A761D4"/>
    <w:rsid w:val="00A77EC4"/>
    <w:rsid w:val="00A92879"/>
    <w:rsid w:val="00A9442A"/>
    <w:rsid w:val="00AA016F"/>
    <w:rsid w:val="00AA1ED6"/>
    <w:rsid w:val="00AA51D6"/>
    <w:rsid w:val="00AB0BC8"/>
    <w:rsid w:val="00AB11CA"/>
    <w:rsid w:val="00AB14D9"/>
    <w:rsid w:val="00AB474A"/>
    <w:rsid w:val="00AB4AB8"/>
    <w:rsid w:val="00AB655E"/>
    <w:rsid w:val="00AC007F"/>
    <w:rsid w:val="00AC2ECD"/>
    <w:rsid w:val="00AC3119"/>
    <w:rsid w:val="00AC49FB"/>
    <w:rsid w:val="00AC5A10"/>
    <w:rsid w:val="00AD0AA3"/>
    <w:rsid w:val="00AD2ED0"/>
    <w:rsid w:val="00AD3F94"/>
    <w:rsid w:val="00AD4A5A"/>
    <w:rsid w:val="00AD7360"/>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469"/>
    <w:rsid w:val="00B2757F"/>
    <w:rsid w:val="00B2763F"/>
    <w:rsid w:val="00B27AAC"/>
    <w:rsid w:val="00B30929"/>
    <w:rsid w:val="00B36044"/>
    <w:rsid w:val="00B372AA"/>
    <w:rsid w:val="00B40445"/>
    <w:rsid w:val="00B409E0"/>
    <w:rsid w:val="00B41888"/>
    <w:rsid w:val="00B45A52"/>
    <w:rsid w:val="00B46175"/>
    <w:rsid w:val="00B47F67"/>
    <w:rsid w:val="00B548B7"/>
    <w:rsid w:val="00B664C7"/>
    <w:rsid w:val="00B713D8"/>
    <w:rsid w:val="00B739F6"/>
    <w:rsid w:val="00B741EA"/>
    <w:rsid w:val="00B74F00"/>
    <w:rsid w:val="00B81A6C"/>
    <w:rsid w:val="00B81AF9"/>
    <w:rsid w:val="00B85DE5"/>
    <w:rsid w:val="00B86BAE"/>
    <w:rsid w:val="00B90F73"/>
    <w:rsid w:val="00B93B59"/>
    <w:rsid w:val="00B9406A"/>
    <w:rsid w:val="00BA2280"/>
    <w:rsid w:val="00BA2A08"/>
    <w:rsid w:val="00BA56D2"/>
    <w:rsid w:val="00BA583A"/>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067"/>
    <w:rsid w:val="00C10478"/>
    <w:rsid w:val="00C12107"/>
    <w:rsid w:val="00C14D4B"/>
    <w:rsid w:val="00C154BB"/>
    <w:rsid w:val="00C25F5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239"/>
    <w:rsid w:val="00CA607C"/>
    <w:rsid w:val="00CB1F63"/>
    <w:rsid w:val="00CB697C"/>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5E5A"/>
    <w:rsid w:val="00D06897"/>
    <w:rsid w:val="00D10249"/>
    <w:rsid w:val="00D115C3"/>
    <w:rsid w:val="00D11897"/>
    <w:rsid w:val="00D13135"/>
    <w:rsid w:val="00D13E4E"/>
    <w:rsid w:val="00D239A7"/>
    <w:rsid w:val="00D23F47"/>
    <w:rsid w:val="00D24F33"/>
    <w:rsid w:val="00D36E71"/>
    <w:rsid w:val="00D37D87"/>
    <w:rsid w:val="00D40B33"/>
    <w:rsid w:val="00D4318F"/>
    <w:rsid w:val="00D438BF"/>
    <w:rsid w:val="00D440F8"/>
    <w:rsid w:val="00D4779A"/>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7C2E"/>
    <w:rsid w:val="00DC2D36"/>
    <w:rsid w:val="00DC50E3"/>
    <w:rsid w:val="00DC53EF"/>
    <w:rsid w:val="00DE5608"/>
    <w:rsid w:val="00DE58D0"/>
    <w:rsid w:val="00DE654F"/>
    <w:rsid w:val="00DF0B6E"/>
    <w:rsid w:val="00DF15E0"/>
    <w:rsid w:val="00DF37A0"/>
    <w:rsid w:val="00E110E7"/>
    <w:rsid w:val="00E11B20"/>
    <w:rsid w:val="00E17FA2"/>
    <w:rsid w:val="00E22330"/>
    <w:rsid w:val="00E264E4"/>
    <w:rsid w:val="00E27502"/>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EE0"/>
    <w:rsid w:val="00E90395"/>
    <w:rsid w:val="00E90E49"/>
    <w:rsid w:val="00E917F9"/>
    <w:rsid w:val="00E9291C"/>
    <w:rsid w:val="00E93FFE"/>
    <w:rsid w:val="00E94F8A"/>
    <w:rsid w:val="00EA2D4B"/>
    <w:rsid w:val="00EA7A41"/>
    <w:rsid w:val="00EB077B"/>
    <w:rsid w:val="00EB4EA2"/>
    <w:rsid w:val="00EC24D5"/>
    <w:rsid w:val="00EC27C6"/>
    <w:rsid w:val="00EC4207"/>
    <w:rsid w:val="00EC5653"/>
    <w:rsid w:val="00EC71CE"/>
    <w:rsid w:val="00ED1006"/>
    <w:rsid w:val="00EE3EFA"/>
    <w:rsid w:val="00EE47DD"/>
    <w:rsid w:val="00EF18FE"/>
    <w:rsid w:val="00EF5787"/>
    <w:rsid w:val="00EF60D0"/>
    <w:rsid w:val="00F0528D"/>
    <w:rsid w:val="00F06C67"/>
    <w:rsid w:val="00F06DFD"/>
    <w:rsid w:val="00F071D1"/>
    <w:rsid w:val="00F07533"/>
    <w:rsid w:val="00F10629"/>
    <w:rsid w:val="00F153CB"/>
    <w:rsid w:val="00F15FA5"/>
    <w:rsid w:val="00F209B7"/>
    <w:rsid w:val="00F2376F"/>
    <w:rsid w:val="00F243D8"/>
    <w:rsid w:val="00F30828"/>
    <w:rsid w:val="00F313D6"/>
    <w:rsid w:val="00F365CD"/>
    <w:rsid w:val="00F3676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780"/>
    <w:rsid w:val="00F868F5"/>
    <w:rsid w:val="00F872BC"/>
    <w:rsid w:val="00F9056A"/>
    <w:rsid w:val="00F90F8D"/>
    <w:rsid w:val="00F92782"/>
    <w:rsid w:val="00F93AA9"/>
    <w:rsid w:val="00F96985"/>
    <w:rsid w:val="00F97838"/>
    <w:rsid w:val="00FA2BB3"/>
    <w:rsid w:val="00FB1E80"/>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723"/>
    <w:rsid w:val="00FF5C91"/>
    <w:rsid w:val="00FF7208"/>
    <w:rsid w:val="68F8CD6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545F502-C5CB-412C-8FC9-99E57E04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AD7360"/>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67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dcmitype/"/>
    <ds:schemaRef ds:uri="http://purl.org/dc/elements/1.1/"/>
    <ds:schemaRef ds:uri="d8762117-8292-4133-b1c7-eab5c6487cfd"/>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2f282d3b-eb4a-4b09-b61f-b9593442e286"/>
    <ds:schemaRef ds:uri="http://schemas.microsoft.com/sharepoint/v3"/>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2415</Words>
  <Characters>13822</Characters>
  <Application>Microsoft Office Word</Application>
  <DocSecurity>0</DocSecurity>
  <Lines>115</Lines>
  <Paragraphs>32</Paragraphs>
  <ScaleCrop>false</ScaleCrop>
  <Company>Ericsson</Company>
  <LinksUpToDate>false</LinksUpToDate>
  <CharactersWithSpaces>16205</CharactersWithSpaces>
  <SharedDoc>false</SharedDoc>
  <HLinks>
    <vt:vector size="150" baseType="variant">
      <vt:variant>
        <vt:i4>1179702</vt:i4>
      </vt:variant>
      <vt:variant>
        <vt:i4>77</vt:i4>
      </vt:variant>
      <vt:variant>
        <vt:i4>0</vt:i4>
      </vt:variant>
      <vt:variant>
        <vt:i4>5</vt:i4>
      </vt:variant>
      <vt:variant>
        <vt:lpwstr/>
      </vt:variant>
      <vt:variant>
        <vt:lpwstr>_Toc134630002</vt:lpwstr>
      </vt:variant>
      <vt:variant>
        <vt:i4>1179702</vt:i4>
      </vt:variant>
      <vt:variant>
        <vt:i4>74</vt:i4>
      </vt:variant>
      <vt:variant>
        <vt:i4>0</vt:i4>
      </vt:variant>
      <vt:variant>
        <vt:i4>5</vt:i4>
      </vt:variant>
      <vt:variant>
        <vt:lpwstr/>
      </vt:variant>
      <vt:variant>
        <vt:lpwstr>_Toc134630001</vt:lpwstr>
      </vt:variant>
      <vt:variant>
        <vt:i4>1179702</vt:i4>
      </vt:variant>
      <vt:variant>
        <vt:i4>71</vt:i4>
      </vt:variant>
      <vt:variant>
        <vt:i4>0</vt:i4>
      </vt:variant>
      <vt:variant>
        <vt:i4>5</vt:i4>
      </vt:variant>
      <vt:variant>
        <vt:lpwstr/>
      </vt:variant>
      <vt:variant>
        <vt:lpwstr>_Toc134630000</vt:lpwstr>
      </vt:variant>
      <vt:variant>
        <vt:i4>1179710</vt:i4>
      </vt:variant>
      <vt:variant>
        <vt:i4>68</vt:i4>
      </vt:variant>
      <vt:variant>
        <vt:i4>0</vt:i4>
      </vt:variant>
      <vt:variant>
        <vt:i4>5</vt:i4>
      </vt:variant>
      <vt:variant>
        <vt:lpwstr/>
      </vt:variant>
      <vt:variant>
        <vt:lpwstr>_Toc134629999</vt:lpwstr>
      </vt:variant>
      <vt:variant>
        <vt:i4>1179710</vt:i4>
      </vt:variant>
      <vt:variant>
        <vt:i4>65</vt:i4>
      </vt:variant>
      <vt:variant>
        <vt:i4>0</vt:i4>
      </vt:variant>
      <vt:variant>
        <vt:i4>5</vt:i4>
      </vt:variant>
      <vt:variant>
        <vt:lpwstr/>
      </vt:variant>
      <vt:variant>
        <vt:lpwstr>_Toc134629998</vt:lpwstr>
      </vt:variant>
      <vt:variant>
        <vt:i4>1179710</vt:i4>
      </vt:variant>
      <vt:variant>
        <vt:i4>62</vt:i4>
      </vt:variant>
      <vt:variant>
        <vt:i4>0</vt:i4>
      </vt:variant>
      <vt:variant>
        <vt:i4>5</vt:i4>
      </vt:variant>
      <vt:variant>
        <vt:lpwstr/>
      </vt:variant>
      <vt:variant>
        <vt:lpwstr>_Toc134629997</vt:lpwstr>
      </vt:variant>
      <vt:variant>
        <vt:i4>1179710</vt:i4>
      </vt:variant>
      <vt:variant>
        <vt:i4>59</vt:i4>
      </vt:variant>
      <vt:variant>
        <vt:i4>0</vt:i4>
      </vt:variant>
      <vt:variant>
        <vt:i4>5</vt:i4>
      </vt:variant>
      <vt:variant>
        <vt:lpwstr/>
      </vt:variant>
      <vt:variant>
        <vt:lpwstr>_Toc134629996</vt:lpwstr>
      </vt:variant>
      <vt:variant>
        <vt:i4>1179703</vt:i4>
      </vt:variant>
      <vt:variant>
        <vt:i4>53</vt:i4>
      </vt:variant>
      <vt:variant>
        <vt:i4>0</vt:i4>
      </vt:variant>
      <vt:variant>
        <vt:i4>5</vt:i4>
      </vt:variant>
      <vt:variant>
        <vt:lpwstr/>
      </vt:variant>
      <vt:variant>
        <vt:lpwstr>_Toc135040761</vt:lpwstr>
      </vt:variant>
      <vt:variant>
        <vt:i4>1179703</vt:i4>
      </vt:variant>
      <vt:variant>
        <vt:i4>50</vt:i4>
      </vt:variant>
      <vt:variant>
        <vt:i4>0</vt:i4>
      </vt:variant>
      <vt:variant>
        <vt:i4>5</vt:i4>
      </vt:variant>
      <vt:variant>
        <vt:lpwstr/>
      </vt:variant>
      <vt:variant>
        <vt:lpwstr>_Toc135040760</vt:lpwstr>
      </vt:variant>
      <vt:variant>
        <vt:i4>1114167</vt:i4>
      </vt:variant>
      <vt:variant>
        <vt:i4>47</vt:i4>
      </vt:variant>
      <vt:variant>
        <vt:i4>0</vt:i4>
      </vt:variant>
      <vt:variant>
        <vt:i4>5</vt:i4>
      </vt:variant>
      <vt:variant>
        <vt:lpwstr/>
      </vt:variant>
      <vt:variant>
        <vt:lpwstr>_Toc135040759</vt:lpwstr>
      </vt:variant>
      <vt:variant>
        <vt:i4>1114167</vt:i4>
      </vt:variant>
      <vt:variant>
        <vt:i4>44</vt:i4>
      </vt:variant>
      <vt:variant>
        <vt:i4>0</vt:i4>
      </vt:variant>
      <vt:variant>
        <vt:i4>5</vt:i4>
      </vt:variant>
      <vt:variant>
        <vt:lpwstr/>
      </vt:variant>
      <vt:variant>
        <vt:lpwstr>_Toc135040758</vt:lpwstr>
      </vt:variant>
      <vt:variant>
        <vt:i4>1114167</vt:i4>
      </vt:variant>
      <vt:variant>
        <vt:i4>41</vt:i4>
      </vt:variant>
      <vt:variant>
        <vt:i4>0</vt:i4>
      </vt:variant>
      <vt:variant>
        <vt:i4>5</vt:i4>
      </vt:variant>
      <vt:variant>
        <vt:lpwstr/>
      </vt:variant>
      <vt:variant>
        <vt:lpwstr>_Toc135040757</vt:lpwstr>
      </vt:variant>
      <vt:variant>
        <vt:i4>1114167</vt:i4>
      </vt:variant>
      <vt:variant>
        <vt:i4>38</vt:i4>
      </vt:variant>
      <vt:variant>
        <vt:i4>0</vt:i4>
      </vt:variant>
      <vt:variant>
        <vt:i4>5</vt:i4>
      </vt:variant>
      <vt:variant>
        <vt:lpwstr/>
      </vt:variant>
      <vt:variant>
        <vt:lpwstr>_Toc135040756</vt:lpwstr>
      </vt:variant>
      <vt:variant>
        <vt:i4>1114167</vt:i4>
      </vt:variant>
      <vt:variant>
        <vt:i4>35</vt:i4>
      </vt:variant>
      <vt:variant>
        <vt:i4>0</vt:i4>
      </vt:variant>
      <vt:variant>
        <vt:i4>5</vt:i4>
      </vt:variant>
      <vt:variant>
        <vt:lpwstr/>
      </vt:variant>
      <vt:variant>
        <vt:lpwstr>_Toc135040755</vt:lpwstr>
      </vt:variant>
      <vt:variant>
        <vt:i4>1114167</vt:i4>
      </vt:variant>
      <vt:variant>
        <vt:i4>32</vt:i4>
      </vt:variant>
      <vt:variant>
        <vt:i4>0</vt:i4>
      </vt:variant>
      <vt:variant>
        <vt:i4>5</vt:i4>
      </vt:variant>
      <vt:variant>
        <vt:lpwstr/>
      </vt:variant>
      <vt:variant>
        <vt:lpwstr>_Toc135040754</vt:lpwstr>
      </vt:variant>
      <vt:variant>
        <vt:i4>1114167</vt:i4>
      </vt:variant>
      <vt:variant>
        <vt:i4>29</vt:i4>
      </vt:variant>
      <vt:variant>
        <vt:i4>0</vt:i4>
      </vt:variant>
      <vt:variant>
        <vt:i4>5</vt:i4>
      </vt:variant>
      <vt:variant>
        <vt:lpwstr/>
      </vt:variant>
      <vt:variant>
        <vt:lpwstr>_Toc135040753</vt:lpwstr>
      </vt:variant>
      <vt:variant>
        <vt:i4>1114167</vt:i4>
      </vt:variant>
      <vt:variant>
        <vt:i4>26</vt:i4>
      </vt:variant>
      <vt:variant>
        <vt:i4>0</vt:i4>
      </vt:variant>
      <vt:variant>
        <vt:i4>5</vt:i4>
      </vt:variant>
      <vt:variant>
        <vt:lpwstr/>
      </vt:variant>
      <vt:variant>
        <vt:lpwstr>_Toc135040752</vt:lpwstr>
      </vt:variant>
      <vt:variant>
        <vt:i4>1114167</vt:i4>
      </vt:variant>
      <vt:variant>
        <vt:i4>23</vt:i4>
      </vt:variant>
      <vt:variant>
        <vt:i4>0</vt:i4>
      </vt:variant>
      <vt:variant>
        <vt:i4>5</vt:i4>
      </vt:variant>
      <vt:variant>
        <vt:lpwstr/>
      </vt:variant>
      <vt:variant>
        <vt:lpwstr>_Toc135040751</vt:lpwstr>
      </vt:variant>
      <vt:variant>
        <vt:i4>1114167</vt:i4>
      </vt:variant>
      <vt:variant>
        <vt:i4>20</vt:i4>
      </vt:variant>
      <vt:variant>
        <vt:i4>0</vt:i4>
      </vt:variant>
      <vt:variant>
        <vt:i4>5</vt:i4>
      </vt:variant>
      <vt:variant>
        <vt:lpwstr/>
      </vt:variant>
      <vt:variant>
        <vt:lpwstr>_Toc135040750</vt:lpwstr>
      </vt:variant>
      <vt:variant>
        <vt:i4>1048631</vt:i4>
      </vt:variant>
      <vt:variant>
        <vt:i4>17</vt:i4>
      </vt:variant>
      <vt:variant>
        <vt:i4>0</vt:i4>
      </vt:variant>
      <vt:variant>
        <vt:i4>5</vt:i4>
      </vt:variant>
      <vt:variant>
        <vt:lpwstr/>
      </vt:variant>
      <vt:variant>
        <vt:lpwstr>_Toc135040749</vt:lpwstr>
      </vt:variant>
      <vt:variant>
        <vt:i4>1048631</vt:i4>
      </vt:variant>
      <vt:variant>
        <vt:i4>14</vt:i4>
      </vt:variant>
      <vt:variant>
        <vt:i4>0</vt:i4>
      </vt:variant>
      <vt:variant>
        <vt:i4>5</vt:i4>
      </vt:variant>
      <vt:variant>
        <vt:lpwstr/>
      </vt:variant>
      <vt:variant>
        <vt:lpwstr>_Toc135040748</vt:lpwstr>
      </vt:variant>
      <vt:variant>
        <vt:i4>1048631</vt:i4>
      </vt:variant>
      <vt:variant>
        <vt:i4>11</vt:i4>
      </vt:variant>
      <vt:variant>
        <vt:i4>0</vt:i4>
      </vt:variant>
      <vt:variant>
        <vt:i4>5</vt:i4>
      </vt:variant>
      <vt:variant>
        <vt:lpwstr/>
      </vt:variant>
      <vt:variant>
        <vt:lpwstr>_Toc135040747</vt:lpwstr>
      </vt:variant>
      <vt:variant>
        <vt:i4>1048631</vt:i4>
      </vt:variant>
      <vt:variant>
        <vt:i4>8</vt:i4>
      </vt:variant>
      <vt:variant>
        <vt:i4>0</vt:i4>
      </vt:variant>
      <vt:variant>
        <vt:i4>5</vt:i4>
      </vt:variant>
      <vt:variant>
        <vt:lpwstr/>
      </vt:variant>
      <vt:variant>
        <vt:lpwstr>_Toc135040746</vt:lpwstr>
      </vt:variant>
      <vt:variant>
        <vt:i4>1048631</vt:i4>
      </vt:variant>
      <vt:variant>
        <vt:i4>5</vt:i4>
      </vt:variant>
      <vt:variant>
        <vt:i4>0</vt:i4>
      </vt:variant>
      <vt:variant>
        <vt:i4>5</vt:i4>
      </vt:variant>
      <vt:variant>
        <vt:lpwstr/>
      </vt:variant>
      <vt:variant>
        <vt:lpwstr>_Toc135040745</vt:lpwstr>
      </vt:variant>
      <vt:variant>
        <vt:i4>1048631</vt:i4>
      </vt:variant>
      <vt:variant>
        <vt:i4>2</vt:i4>
      </vt:variant>
      <vt:variant>
        <vt:i4>0</vt:i4>
      </vt:variant>
      <vt:variant>
        <vt:i4>5</vt:i4>
      </vt:variant>
      <vt:variant>
        <vt:lpwstr/>
      </vt:variant>
      <vt:variant>
        <vt:lpwstr>_Toc135040744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96</cp:revision>
  <cp:lastPrinted>2008-02-01T10:09:00Z</cp:lastPrinted>
  <dcterms:created xsi:type="dcterms:W3CDTF">2020-08-15T00:21:00Z</dcterms:created>
  <dcterms:modified xsi:type="dcterms:W3CDTF">2023-05-15T12:32:00Z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